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608E8" w:rsidR="00186DAF" w:rsidP="39BC363E" w:rsidRDefault="00956F95" w14:paraId="2F46443C" w14:textId="280EC1B5">
      <w:pPr>
        <w:pStyle w:val="BodyText"/>
        <w:spacing w:before="192" w:beforeLines="80" w:after="192" w:afterLines="80"/>
        <w:ind w:left="360" w:hanging="360"/>
        <w:jc w:val="center"/>
        <w:rPr>
          <w:rFonts w:ascii="Times New Roman" w:hAnsi="Times New Roman" w:eastAsia="Times New Roman" w:cs="Times New Roman"/>
          <w:b w:val="1"/>
          <w:bCs w:val="1"/>
          <w:sz w:val="22"/>
          <w:szCs w:val="22"/>
        </w:rPr>
      </w:pPr>
      <w:r w:rsidRPr="39BC363E" w:rsidR="00956F95">
        <w:rPr>
          <w:rFonts w:ascii="Times New Roman" w:hAnsi="Times New Roman" w:eastAsia="Times New Roman" w:cs="Times New Roman"/>
          <w:b w:val="1"/>
          <w:bCs w:val="1"/>
          <w:sz w:val="22"/>
          <w:szCs w:val="22"/>
        </w:rPr>
        <w:t>ERGÄNZUNG FÜR VERANTWORTLICHE</w:t>
      </w:r>
    </w:p>
    <w:p w:rsidRPr="007608E8" w:rsidR="007B1B5C" w:rsidP="39BC363E" w:rsidRDefault="001E0020" w14:paraId="46B584AC" w14:textId="5CC16EF6">
      <w:pPr>
        <w:pStyle w:val="BodyText"/>
        <w:spacing w:before="192" w:beforeLines="80" w:after="192" w:afterLines="80"/>
        <w:ind w:left="360" w:hanging="360"/>
        <w:jc w:val="center"/>
        <w:rPr>
          <w:rFonts w:ascii="Times New Roman" w:hAnsi="Times New Roman" w:eastAsia="Times New Roman" w:cs="Times New Roman"/>
          <w:b w:val="1"/>
          <w:bCs w:val="1"/>
          <w:sz w:val="22"/>
          <w:szCs w:val="22"/>
        </w:rPr>
      </w:pPr>
      <w:r w:rsidRPr="39BC363E" w:rsidR="001E0020">
        <w:rPr>
          <w:rFonts w:ascii="Times New Roman" w:hAnsi="Times New Roman" w:eastAsia="Times New Roman" w:cs="Times New Roman"/>
          <w:b w:val="1"/>
          <w:bCs w:val="1"/>
          <w:sz w:val="22"/>
          <w:szCs w:val="22"/>
        </w:rPr>
        <w:t>Revisionsdatum: 12. März 2024</w:t>
      </w:r>
      <w:r w:rsidRPr="39BC363E" w:rsidR="007B1B5C">
        <w:rPr>
          <w:rFonts w:ascii="Times New Roman" w:hAnsi="Times New Roman" w:eastAsia="Times New Roman" w:cs="Times New Roman"/>
          <w:b w:val="1"/>
          <w:bCs w:val="1"/>
          <w:sz w:val="22"/>
          <w:szCs w:val="22"/>
        </w:rPr>
        <w:t xml:space="preserve"> </w:t>
      </w:r>
      <w:r w:rsidRPr="39BC363E" w:rsidR="005B24A0">
        <w:rPr>
          <w:rFonts w:ascii="Times New Roman" w:hAnsi="Times New Roman" w:eastAsia="Times New Roman" w:cs="Times New Roman"/>
          <w:b w:val="1"/>
          <w:bCs w:val="1"/>
          <w:sz w:val="22"/>
          <w:szCs w:val="22"/>
        </w:rPr>
        <w:t xml:space="preserve"> </w:t>
      </w:r>
    </w:p>
    <w:p w:rsidRPr="00AC5F8D" w:rsidR="000E3763" w:rsidP="39BC363E" w:rsidRDefault="000E3763" w14:paraId="346A6482" w14:textId="40EACBF3">
      <w:pPr>
        <w:pStyle w:val="BodyText"/>
        <w:spacing w:before="192" w:beforeLines="80" w:after="192" w:afterLines="80"/>
        <w:rPr>
          <w:rFonts w:ascii="Times New Roman" w:hAnsi="Times New Roman" w:eastAsia="Times New Roman" w:cs="Times New Roman"/>
          <w:sz w:val="22"/>
          <w:szCs w:val="22"/>
        </w:rPr>
      </w:pPr>
      <w:r w:rsidRPr="39BC363E" w:rsidR="000E3763">
        <w:rPr>
          <w:rFonts w:ascii="Times New Roman" w:hAnsi="Times New Roman" w:eastAsia="Times New Roman" w:cs="Times New Roman"/>
          <w:sz w:val="22"/>
          <w:szCs w:val="22"/>
        </w:rPr>
        <w:t>Für die Zwecke dieser Ergänzung für Verantwortliche („Joint Controller Addendum, JCA</w:t>
      </w:r>
      <w:r w:rsidRPr="39BC363E" w:rsidR="00CC797F">
        <w:rPr>
          <w:rFonts w:ascii="Times New Roman" w:hAnsi="Times New Roman" w:eastAsia="Times New Roman" w:cs="Times New Roman"/>
          <w:sz w:val="22"/>
          <w:szCs w:val="22"/>
        </w:rPr>
        <w:t>“</w:t>
      </w:r>
      <w:r w:rsidRPr="39BC363E" w:rsidR="000E3763">
        <w:rPr>
          <w:rFonts w:ascii="Times New Roman" w:hAnsi="Times New Roman" w:eastAsia="Times New Roman" w:cs="Times New Roman"/>
          <w:sz w:val="22"/>
          <w:szCs w:val="22"/>
        </w:rPr>
        <w:t>) wird das</w:t>
      </w:r>
      <w:r w:rsidRPr="39BC363E" w:rsidR="00AC5F8D">
        <w:rPr>
          <w:rFonts w:ascii="Times New Roman" w:hAnsi="Times New Roman" w:eastAsia="Times New Roman" w:cs="Times New Roman"/>
          <w:sz w:val="22"/>
          <w:szCs w:val="22"/>
        </w:rPr>
        <w:t> </w:t>
      </w:r>
      <w:r w:rsidRPr="39BC363E" w:rsidR="000E3763">
        <w:rPr>
          <w:rFonts w:ascii="Times New Roman" w:hAnsi="Times New Roman" w:eastAsia="Times New Roman" w:cs="Times New Roman"/>
          <w:sz w:val="22"/>
          <w:szCs w:val="22"/>
        </w:rPr>
        <w:t>Unternehmen oder die Tochtergesellschaft von Merck Sharp &amp; Dohme LLC, das bzw. die die</w:t>
      </w:r>
      <w:r w:rsidRPr="39BC363E" w:rsidR="00AC5F8D">
        <w:rPr>
          <w:rFonts w:ascii="Times New Roman" w:hAnsi="Times New Roman" w:eastAsia="Times New Roman" w:cs="Times New Roman"/>
          <w:sz w:val="22"/>
          <w:szCs w:val="22"/>
        </w:rPr>
        <w:t> </w:t>
      </w:r>
      <w:r w:rsidRPr="39BC363E" w:rsidR="000E3763">
        <w:rPr>
          <w:rFonts w:ascii="Times New Roman" w:hAnsi="Times New Roman" w:eastAsia="Times New Roman" w:cs="Times New Roman"/>
          <w:sz w:val="22"/>
          <w:szCs w:val="22"/>
        </w:rPr>
        <w:t>Vereinbarung oder eine andere Form der Vereinbarung, die auf dieses JCA verweist (die „Vereinbarung</w:t>
      </w:r>
      <w:r w:rsidRPr="39BC363E" w:rsidR="00CC797F">
        <w:rPr>
          <w:rFonts w:ascii="Times New Roman" w:hAnsi="Times New Roman" w:eastAsia="Times New Roman" w:cs="Times New Roman"/>
          <w:sz w:val="22"/>
          <w:szCs w:val="22"/>
        </w:rPr>
        <w:t>“</w:t>
      </w:r>
      <w:r w:rsidRPr="39BC363E" w:rsidR="000E3763">
        <w:rPr>
          <w:rFonts w:ascii="Times New Roman" w:hAnsi="Times New Roman" w:eastAsia="Times New Roman" w:cs="Times New Roman"/>
          <w:sz w:val="22"/>
          <w:szCs w:val="22"/>
        </w:rPr>
        <w:t>), ausführt, als „Unternehmen</w:t>
      </w:r>
      <w:r w:rsidRPr="39BC363E" w:rsidR="00CC797F">
        <w:rPr>
          <w:rFonts w:ascii="Times New Roman" w:hAnsi="Times New Roman" w:eastAsia="Times New Roman" w:cs="Times New Roman"/>
          <w:sz w:val="22"/>
          <w:szCs w:val="22"/>
        </w:rPr>
        <w:t>“</w:t>
      </w:r>
      <w:r w:rsidRPr="39BC363E" w:rsidR="000E3763">
        <w:rPr>
          <w:rFonts w:ascii="Times New Roman" w:hAnsi="Times New Roman" w:eastAsia="Times New Roman" w:cs="Times New Roman"/>
          <w:sz w:val="22"/>
          <w:szCs w:val="22"/>
        </w:rPr>
        <w:t xml:space="preserve"> bezeichnet und alle anderen Parteien einer solchen Vereinbarung werden gemeinsam als „Anbieter” bezeichnet. Das Unternehmen und der Anbieter werden</w:t>
      </w:r>
      <w:r w:rsidRPr="39BC363E" w:rsidR="00AC5F8D">
        <w:rPr>
          <w:rFonts w:ascii="Times New Roman" w:hAnsi="Times New Roman" w:eastAsia="Times New Roman" w:cs="Times New Roman"/>
          <w:sz w:val="22"/>
          <w:szCs w:val="22"/>
        </w:rPr>
        <w:t> </w:t>
      </w:r>
      <w:r w:rsidRPr="39BC363E" w:rsidR="000E3763">
        <w:rPr>
          <w:rFonts w:ascii="Times New Roman" w:hAnsi="Times New Roman" w:eastAsia="Times New Roman" w:cs="Times New Roman"/>
          <w:sz w:val="22"/>
          <w:szCs w:val="22"/>
        </w:rPr>
        <w:t>jeweils als „Partei“ und gemeinsam als „die Parteien“ bezeichnet.</w:t>
      </w:r>
    </w:p>
    <w:p w:rsidRPr="00AC5F8D" w:rsidR="00186DAF" w:rsidP="39BC363E" w:rsidRDefault="00186DAF" w14:paraId="6A3DF8E2" w14:textId="77777777">
      <w:pPr>
        <w:pStyle w:val="BodyText"/>
        <w:spacing w:before="192" w:beforeLines="80" w:after="192" w:afterLines="80"/>
        <w:ind w:left="360" w:hanging="360"/>
        <w:rPr>
          <w:rFonts w:ascii="Times New Roman" w:hAnsi="Times New Roman" w:eastAsia="Times New Roman" w:cs="Times New Roman"/>
          <w:sz w:val="22"/>
          <w:szCs w:val="22"/>
          <w:u w:val="single"/>
        </w:rPr>
      </w:pPr>
      <w:r w:rsidRPr="39BC363E" w:rsidR="00186DAF">
        <w:rPr>
          <w:rFonts w:ascii="Times New Roman" w:hAnsi="Times New Roman" w:eastAsia="Times New Roman" w:cs="Times New Roman"/>
          <w:sz w:val="22"/>
          <w:szCs w:val="22"/>
          <w:u w:val="single"/>
        </w:rPr>
        <w:t>Hintergrund</w:t>
      </w:r>
    </w:p>
    <w:p w:rsidRPr="00AC5F8D" w:rsidR="000E3763" w:rsidP="39BC363E" w:rsidRDefault="000E3763" w14:paraId="01546E9A" w14:textId="0E74CD9F">
      <w:pPr>
        <w:pStyle w:val="BodyText"/>
        <w:numPr>
          <w:ilvl w:val="0"/>
          <w:numId w:val="18"/>
        </w:numPr>
        <w:spacing w:before="192" w:beforeLines="80" w:after="192" w:afterLines="80" w:line="240" w:lineRule="auto"/>
        <w:rPr>
          <w:rFonts w:ascii="Times New Roman" w:hAnsi="Times New Roman" w:eastAsia="Times New Roman" w:cs="Times New Roman"/>
          <w:sz w:val="22"/>
          <w:szCs w:val="22"/>
        </w:rPr>
      </w:pPr>
      <w:r w:rsidRPr="39BC363E" w:rsidR="000E3763">
        <w:rPr>
          <w:rFonts w:ascii="Times New Roman" w:hAnsi="Times New Roman" w:eastAsia="Times New Roman" w:cs="Times New Roman"/>
          <w:sz w:val="22"/>
          <w:szCs w:val="22"/>
        </w:rPr>
        <w:t>Die Parteien haben die Vereinbarung geschlossen und können zusammen mit der Vereinbarung einen</w:t>
      </w:r>
      <w:r w:rsidRPr="39BC363E" w:rsidR="00AC5F8D">
        <w:rPr>
          <w:rFonts w:ascii="Times New Roman" w:hAnsi="Times New Roman" w:eastAsia="Times New Roman" w:cs="Times New Roman"/>
          <w:sz w:val="22"/>
          <w:szCs w:val="22"/>
        </w:rPr>
        <w:t> </w:t>
      </w:r>
      <w:r w:rsidRPr="39BC363E" w:rsidR="000E3763">
        <w:rPr>
          <w:rFonts w:ascii="Times New Roman" w:hAnsi="Times New Roman" w:eastAsia="Times New Roman" w:cs="Times New Roman"/>
          <w:sz w:val="22"/>
          <w:szCs w:val="22"/>
        </w:rPr>
        <w:t>oder mehrere Kauf- oder Arbeitsaufträge, Projektvereinbarungen, Anhänge von Projektplänen, Leistungsbeschreibungen, Arbeitsaufträge oder andere Dienstleistungsbedingungen (jeweils eine</w:t>
      </w:r>
      <w:r w:rsidRPr="39BC363E" w:rsidR="00AC5F8D">
        <w:rPr>
          <w:rFonts w:ascii="Times New Roman" w:hAnsi="Times New Roman" w:eastAsia="Times New Roman" w:cs="Times New Roman"/>
          <w:sz w:val="22"/>
          <w:szCs w:val="22"/>
        </w:rPr>
        <w:t> </w:t>
      </w:r>
      <w:r w:rsidRPr="39BC363E" w:rsidR="000E3763">
        <w:rPr>
          <w:rFonts w:ascii="Times New Roman" w:hAnsi="Times New Roman" w:eastAsia="Times New Roman" w:cs="Times New Roman"/>
          <w:sz w:val="22"/>
          <w:szCs w:val="22"/>
        </w:rPr>
        <w:t>„Leistungsbeschreibung</w:t>
      </w:r>
      <w:r w:rsidRPr="39BC363E" w:rsidR="00CC797F">
        <w:rPr>
          <w:rFonts w:ascii="Times New Roman" w:hAnsi="Times New Roman" w:eastAsia="Times New Roman" w:cs="Times New Roman"/>
          <w:sz w:val="22"/>
          <w:szCs w:val="22"/>
        </w:rPr>
        <w:t>“</w:t>
      </w:r>
      <w:r w:rsidRPr="39BC363E" w:rsidR="000E3763">
        <w:rPr>
          <w:rFonts w:ascii="Times New Roman" w:hAnsi="Times New Roman" w:eastAsia="Times New Roman" w:cs="Times New Roman"/>
          <w:sz w:val="22"/>
          <w:szCs w:val="22"/>
        </w:rPr>
        <w:t>) abschließen, die die darin vorgesehenen Dienstleistungen (den „Gemeinsamen Zweck</w:t>
      </w:r>
      <w:r w:rsidRPr="39BC363E" w:rsidR="00CC797F">
        <w:rPr>
          <w:rFonts w:ascii="Times New Roman" w:hAnsi="Times New Roman" w:eastAsia="Times New Roman" w:cs="Times New Roman"/>
          <w:sz w:val="22"/>
          <w:szCs w:val="22"/>
        </w:rPr>
        <w:t>“</w:t>
      </w:r>
      <w:r w:rsidRPr="39BC363E" w:rsidR="000E3763">
        <w:rPr>
          <w:rFonts w:ascii="Times New Roman" w:hAnsi="Times New Roman" w:eastAsia="Times New Roman" w:cs="Times New Roman"/>
          <w:sz w:val="22"/>
          <w:szCs w:val="22"/>
        </w:rPr>
        <w:t>) regeln.</w:t>
      </w:r>
    </w:p>
    <w:p w:rsidRPr="00AC5F8D" w:rsidR="00186DAF" w:rsidP="39BC363E" w:rsidRDefault="00186DAF" w14:paraId="0F07A33A" w14:textId="649A1114">
      <w:pPr>
        <w:pStyle w:val="BodyText"/>
        <w:numPr>
          <w:ilvl w:val="0"/>
          <w:numId w:val="18"/>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Die Parteien beabsichtigen, die Bedingungen der Vereinbarung zu ergänzen, um sicherzustellen, dass</w:t>
      </w:r>
      <w:r w:rsidRPr="39BC363E" w:rsidR="00AC5F8D">
        <w:rPr>
          <w:rFonts w:ascii="Times New Roman" w:hAnsi="Times New Roman" w:eastAsia="Times New Roman" w:cs="Times New Roman"/>
          <w:sz w:val="22"/>
          <w:szCs w:val="22"/>
        </w:rPr>
        <w:t> </w:t>
      </w:r>
      <w:r w:rsidRPr="39BC363E" w:rsidR="00186DAF">
        <w:rPr>
          <w:rFonts w:ascii="Times New Roman" w:hAnsi="Times New Roman" w:eastAsia="Times New Roman" w:cs="Times New Roman"/>
          <w:sz w:val="22"/>
          <w:szCs w:val="22"/>
        </w:rPr>
        <w:t>die gesamte Weitergabe personenbezogener Daten im Zusammenhang mit der Vereinbarung in</w:t>
      </w:r>
      <w:r w:rsidRPr="39BC363E" w:rsidR="00AC5F8D">
        <w:rPr>
          <w:rFonts w:ascii="Times New Roman" w:hAnsi="Times New Roman" w:eastAsia="Times New Roman" w:cs="Times New Roman"/>
          <w:sz w:val="22"/>
          <w:szCs w:val="22"/>
        </w:rPr>
        <w:t> </w:t>
      </w:r>
      <w:r w:rsidRPr="39BC363E" w:rsidR="00186DAF">
        <w:rPr>
          <w:rFonts w:ascii="Times New Roman" w:hAnsi="Times New Roman" w:eastAsia="Times New Roman" w:cs="Times New Roman"/>
          <w:sz w:val="22"/>
          <w:szCs w:val="22"/>
        </w:rPr>
        <w:t xml:space="preserve">Übereinstimmung mit dem Datenschutzrecht erfolgt, und um ihre Rollen als Verantwortliche für diese Daten festzulegen. </w:t>
      </w:r>
    </w:p>
    <w:p w:rsidRPr="00AC5F8D" w:rsidR="00186DAF" w:rsidP="39BC363E" w:rsidRDefault="00186DAF" w14:paraId="099B464D" w14:textId="77777777">
      <w:pPr>
        <w:pStyle w:val="BodyText"/>
        <w:spacing w:before="192" w:beforeLines="80" w:after="192" w:afterLines="80"/>
        <w:ind w:left="360" w:hanging="360"/>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u w:val="single"/>
        </w:rPr>
        <w:t>Die Parteien vereinbaren</w:t>
      </w:r>
      <w:r w:rsidRPr="39BC363E" w:rsidR="00186DAF">
        <w:rPr>
          <w:rFonts w:ascii="Times New Roman" w:hAnsi="Times New Roman" w:eastAsia="Times New Roman" w:cs="Times New Roman"/>
          <w:sz w:val="22"/>
          <w:szCs w:val="22"/>
        </w:rPr>
        <w:t>:</w:t>
      </w:r>
    </w:p>
    <w:p w:rsidRPr="00AC5F8D" w:rsidR="00186DAF" w:rsidP="39BC363E" w:rsidRDefault="00793BCD" w14:paraId="73A08BCD" w14:textId="79E0179F">
      <w:pPr>
        <w:pStyle w:val="BodyText"/>
        <w:numPr>
          <w:ilvl w:val="0"/>
          <w:numId w:val="32"/>
        </w:numPr>
        <w:spacing w:before="192" w:beforeLines="80" w:after="192" w:afterLines="80" w:line="240" w:lineRule="auto"/>
        <w:rPr>
          <w:rFonts w:ascii="Times New Roman" w:hAnsi="Times New Roman" w:eastAsia="Times New Roman" w:cs="Times New Roman"/>
          <w:sz w:val="22"/>
          <w:szCs w:val="22"/>
        </w:rPr>
      </w:pPr>
      <w:r w:rsidRPr="39BC363E" w:rsidR="00793BCD">
        <w:rPr>
          <w:rFonts w:ascii="Times New Roman" w:hAnsi="Times New Roman" w:eastAsia="Times New Roman" w:cs="Times New Roman"/>
          <w:i w:val="1"/>
          <w:iCs w:val="1"/>
          <w:sz w:val="22"/>
          <w:szCs w:val="22"/>
        </w:rPr>
        <w:t>Gemeinsame Verarbeitungsaktivitäten</w:t>
      </w:r>
      <w:r w:rsidRPr="39BC363E" w:rsidR="00793BCD">
        <w:rPr>
          <w:rFonts w:ascii="Times New Roman" w:hAnsi="Times New Roman" w:eastAsia="Times New Roman" w:cs="Times New Roman"/>
          <w:sz w:val="22"/>
          <w:szCs w:val="22"/>
        </w:rPr>
        <w:t>. In Bezug auf personenbezogene Daten, die im Zusammenhang mit der Vereinbarung verarbeitet werden, sind Gegenstand, Art, Zweck und Dauer der Weitergabe, die Kategorien der betroffenen Personen und die Kategorien der personenbezogenen Daten im Anhang der Vereinbarung mit dem Titel „Datenverarbeitung im Einzelnen</w:t>
      </w:r>
      <w:r w:rsidRPr="39BC363E" w:rsidR="00CC797F">
        <w:rPr>
          <w:rFonts w:ascii="Times New Roman" w:hAnsi="Times New Roman" w:eastAsia="Times New Roman" w:cs="Times New Roman"/>
          <w:sz w:val="22"/>
          <w:szCs w:val="22"/>
        </w:rPr>
        <w:t>“</w:t>
      </w:r>
      <w:r w:rsidRPr="39BC363E" w:rsidR="00793BCD">
        <w:rPr>
          <w:rFonts w:ascii="Times New Roman" w:hAnsi="Times New Roman" w:eastAsia="Times New Roman" w:cs="Times New Roman"/>
          <w:sz w:val="22"/>
          <w:szCs w:val="22"/>
        </w:rPr>
        <w:t xml:space="preserve"> aufgeführt. </w:t>
      </w:r>
    </w:p>
    <w:p w:rsidRPr="00AC5F8D" w:rsidR="005C07CE" w:rsidP="39BC363E" w:rsidRDefault="00747433" w14:paraId="5A16425E" w14:textId="347CE1B4">
      <w:pPr>
        <w:pStyle w:val="BodyText"/>
        <w:numPr>
          <w:ilvl w:val="0"/>
          <w:numId w:val="32"/>
        </w:numPr>
        <w:spacing w:before="192" w:beforeLines="80" w:after="192" w:afterLines="80" w:line="240" w:lineRule="auto"/>
        <w:rPr>
          <w:rFonts w:ascii="Times New Roman" w:hAnsi="Times New Roman" w:eastAsia="Times New Roman" w:cs="Times New Roman"/>
          <w:sz w:val="22"/>
          <w:szCs w:val="22"/>
        </w:rPr>
      </w:pPr>
      <w:r w:rsidRPr="39BC363E" w:rsidR="00747433">
        <w:rPr>
          <w:rFonts w:ascii="Times New Roman" w:hAnsi="Times New Roman" w:eastAsia="Times New Roman" w:cs="Times New Roman"/>
          <w:i w:val="1"/>
          <w:iCs w:val="1"/>
          <w:sz w:val="22"/>
          <w:szCs w:val="22"/>
        </w:rPr>
        <w:t>Anwendbarkeit</w:t>
      </w:r>
      <w:r w:rsidRPr="39BC363E" w:rsidR="00747433">
        <w:rPr>
          <w:rFonts w:ascii="Times New Roman" w:hAnsi="Times New Roman" w:eastAsia="Times New Roman" w:cs="Times New Roman"/>
          <w:sz w:val="22"/>
          <w:szCs w:val="22"/>
        </w:rPr>
        <w:t>. Die Bestimmungen dieses JCA gelten für jeden Arbeitsauftrag im Rahmen der Vereinbarung, sofern in diesem Arbeitsauftrag nichts anderes festgelegt ist.</w:t>
      </w:r>
    </w:p>
    <w:p w:rsidRPr="00AC5F8D" w:rsidR="002D14D6" w:rsidP="39BC363E" w:rsidRDefault="00186DAF" w14:paraId="0D516B93" w14:textId="5AE57907">
      <w:pPr>
        <w:pStyle w:val="BodyText"/>
        <w:numPr>
          <w:ilvl w:val="0"/>
          <w:numId w:val="32"/>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i w:val="1"/>
          <w:iCs w:val="1"/>
          <w:sz w:val="22"/>
          <w:szCs w:val="22"/>
        </w:rPr>
        <w:t>Verpflichtungen</w:t>
      </w:r>
      <w:r w:rsidRPr="39BC363E" w:rsidR="00186DAF">
        <w:rPr>
          <w:rFonts w:ascii="Times New Roman" w:hAnsi="Times New Roman" w:eastAsia="Times New Roman" w:cs="Times New Roman"/>
          <w:sz w:val="22"/>
          <w:szCs w:val="22"/>
        </w:rPr>
        <w:t xml:space="preserve">. In Bezug auf personenbezogene Daten, die im Zusammenhang mit der Vereinbarung verarbeitet werden, verpflichten sich beide Parteien: </w:t>
      </w:r>
    </w:p>
    <w:p w:rsidRPr="00AC5F8D" w:rsidR="00973579" w:rsidP="39BC363E" w:rsidRDefault="00973579" w14:paraId="73232C25" w14:textId="636BA906">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973579">
        <w:rPr>
          <w:rFonts w:ascii="Times New Roman" w:hAnsi="Times New Roman" w:eastAsia="Times New Roman" w:cs="Times New Roman"/>
          <w:sz w:val="22"/>
          <w:szCs w:val="22"/>
        </w:rPr>
        <w:t>die Datenschutzgesetze und ihre jeweiligen Verpflichtungen im Rahmen dieser JCA einzuhalten und für den Fall, dass eine Partei diesen Verpflichtungen nicht nachkommen kann, die andere Partei unverzüglich zu benachrichtigen und alle angemessenen und geeigneten Maßnahmen zu ergreifen, um die Nichteinhaltung zu beheben.</w:t>
      </w:r>
    </w:p>
    <w:p w:rsidRPr="00AC5F8D" w:rsidR="00AB600A" w:rsidP="39BC363E" w:rsidRDefault="00186DAF" w14:paraId="667475FF" w14:textId="344038A7">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personenbezogene Daten nur wie in diesem JCA und der Vereinbarung angegeben zu verarbeiten, </w:t>
      </w:r>
      <w:bookmarkStart w:name="_Hlk948618" w:id="0"/>
      <w:r w:rsidRPr="39BC363E" w:rsidR="00186DAF">
        <w:rPr>
          <w:rFonts w:ascii="Times New Roman" w:hAnsi="Times New Roman" w:eastAsia="Times New Roman" w:cs="Times New Roman"/>
          <w:sz w:val="22"/>
          <w:szCs w:val="22"/>
        </w:rPr>
        <w:t>es sei denn, die andere Partei hat schriftlich zugestimmt und auch dann, wenn:</w:t>
      </w:r>
    </w:p>
    <w:p w:rsidRPr="00AC5F8D" w:rsidR="00AB600A" w:rsidP="39BC363E" w:rsidRDefault="00B73E9D" w14:paraId="1758B93F" w14:textId="1E2DCBE8">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9BC363E" w:rsidR="00B73E9D">
        <w:rPr>
          <w:rFonts w:ascii="Times New Roman" w:hAnsi="Times New Roman" w:eastAsia="Times New Roman" w:cs="Times New Roman"/>
          <w:sz w:val="22"/>
          <w:szCs w:val="22"/>
        </w:rPr>
        <w:t>die andere Partei schriftlich zugestimmt und die Partei die vorherige gültige Zustimmung der betroffenen Person gemäß dem anwendbaren Datenschutzrecht eingeholt hat;</w:t>
      </w:r>
    </w:p>
    <w:p w:rsidRPr="00AC5F8D" w:rsidR="00AB600A" w:rsidP="39BC363E" w:rsidRDefault="00AB600A" w14:paraId="1BCF8784" w14:textId="6C0C1305">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9BC363E" w:rsidR="00AB600A">
        <w:rPr>
          <w:rFonts w:ascii="Times New Roman" w:hAnsi="Times New Roman" w:eastAsia="Times New Roman" w:cs="Times New Roman"/>
          <w:sz w:val="22"/>
          <w:szCs w:val="22"/>
        </w:rPr>
        <w:t>dies ist für die Begründung, Ausübung oder Verteidigung von Rechtsansprüchen im Rahmen bestimmter Verwaltungs-, Aufsichts- oder Gerichtsverfahren erforderlich;</w:t>
      </w:r>
    </w:p>
    <w:p w:rsidRPr="00AC5F8D" w:rsidR="00AB600A" w:rsidP="39BC363E" w:rsidRDefault="00AB600A" w14:paraId="755DE258" w14:textId="0582EF2B">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9BC363E" w:rsidR="00AB600A">
        <w:rPr>
          <w:rFonts w:ascii="Times New Roman" w:hAnsi="Times New Roman" w:eastAsia="Times New Roman" w:cs="Times New Roman"/>
          <w:sz w:val="22"/>
          <w:szCs w:val="22"/>
        </w:rPr>
        <w:t xml:space="preserve">es ist notwendig, die lebenswichtigen Interessen der betroffenen Person oder einer anderen natürlichen Person zu schützen; oder </w:t>
      </w:r>
    </w:p>
    <w:p w:rsidRPr="00AC5F8D" w:rsidR="00186DAF" w:rsidP="39BC363E" w:rsidRDefault="00F85CA1" w14:paraId="5109813F" w14:textId="1792F1D3">
      <w:pPr>
        <w:pStyle w:val="BodyText"/>
        <w:numPr>
          <w:ilvl w:val="2"/>
          <w:numId w:val="29"/>
        </w:numPr>
        <w:spacing w:before="192" w:beforeLines="80" w:after="192" w:afterLines="80" w:line="240" w:lineRule="auto"/>
        <w:rPr>
          <w:rFonts w:ascii="Times New Roman" w:hAnsi="Times New Roman" w:eastAsia="Times New Roman" w:cs="Times New Roman"/>
          <w:spacing w:val="-2"/>
          <w:sz w:val="22"/>
          <w:szCs w:val="22"/>
        </w:rPr>
      </w:pPr>
      <w:r w:rsidRPr="39BC363E" w:rsidR="00F85CA1">
        <w:rPr>
          <w:rFonts w:ascii="Times New Roman" w:hAnsi="Times New Roman" w:eastAsia="Times New Roman" w:cs="Times New Roman"/>
          <w:spacing w:val="-2"/>
          <w:sz w:val="22"/>
          <w:szCs w:val="22"/>
        </w:rPr>
        <w:lastRenderedPageBreak/>
        <w:t>der Anbieter durch geltendes Recht zu etwas anderem verpflichtet ist. In diesem Fall informiert die betroffene Partei die andere Partei über diese gesetzliche Verpflichtung</w:t>
      </w:r>
      <w:bookmarkEnd w:id="0"/>
      <w:r w:rsidRPr="39BC363E" w:rsidR="00F85CA1">
        <w:rPr>
          <w:rFonts w:ascii="Times New Roman" w:hAnsi="Times New Roman" w:eastAsia="Times New Roman" w:cs="Times New Roman"/>
          <w:spacing w:val="-2"/>
          <w:sz w:val="22"/>
          <w:szCs w:val="22"/>
        </w:rPr>
        <w:t>, es sei denn, dies ist durch geltendes Recht untersagt, und bemüht sich nach besten Kräften, Art und Umfang der erforderlichen Offenlegung zu begrenzen, und legt nur das Minimum an personenbezogenen Daten offen, das zur Einhaltung des geltenden Rechts erforderlich ist.</w:t>
      </w:r>
      <w:bookmarkStart w:name="_Hlk6488557" w:id="1"/>
    </w:p>
    <w:bookmarkEnd w:id="1"/>
    <w:p w:rsidRPr="00AC5F8D" w:rsidR="00186DAF" w:rsidP="39BC363E" w:rsidRDefault="00C401F0" w14:paraId="74B024BA" w14:textId="21979F29">
      <w:pPr>
        <w:pStyle w:val="BodyText"/>
        <w:spacing w:before="192" w:beforeLines="80" w:after="192" w:afterLines="80" w:line="240" w:lineRule="auto"/>
        <w:ind w:left="360"/>
        <w:rPr>
          <w:rFonts w:ascii="Times New Roman" w:hAnsi="Times New Roman" w:eastAsia="Times New Roman" w:cs="Times New Roman"/>
          <w:sz w:val="22"/>
          <w:szCs w:val="22"/>
        </w:rPr>
      </w:pPr>
      <w:r w:rsidRPr="39BC363E" w:rsidR="00C401F0">
        <w:rPr>
          <w:rFonts w:ascii="Times New Roman" w:hAnsi="Times New Roman" w:eastAsia="Times New Roman" w:cs="Times New Roman"/>
          <w:sz w:val="22"/>
          <w:szCs w:val="22"/>
        </w:rPr>
        <w:t>.</w:t>
      </w:r>
    </w:p>
    <w:p w:rsidRPr="00AC5F8D" w:rsidR="001E2AEC" w:rsidP="39BC363E" w:rsidRDefault="00186DAF" w14:paraId="751D5A40" w14:textId="526E7399">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bookmarkStart w:name="_Hlk525719761" w:id="2"/>
      <w:bookmarkStart w:name="_Hlk528920751" w:id="3"/>
      <w:r w:rsidRPr="39BC363E" w:rsidR="00186DAF">
        <w:rPr>
          <w:rFonts w:ascii="Times New Roman" w:hAnsi="Times New Roman" w:eastAsia="Times New Roman" w:cs="Times New Roman"/>
          <w:spacing w:val="-2"/>
          <w:sz w:val="22"/>
          <w:szCs w:val="22"/>
        </w:rPr>
        <w:t xml:space="preserve">darf</w:t>
      </w:r>
      <w:r w:rsidRPr="39BC363E" w:rsidR="00186DAF">
        <w:rPr>
          <w:rFonts w:ascii="Times New Roman" w:hAnsi="Times New Roman" w:eastAsia="Times New Roman" w:cs="Times New Roman"/>
          <w:spacing w:val="-2"/>
          <w:sz w:val="22"/>
          <w:szCs w:val="22"/>
        </w:rPr>
        <w:t xml:space="preserve"> der Anbieter personenbezogene Daten nicht an Dritte weitergeben oder übertragen, ohne dass diese Dritten eine schriftliche Vereinbarung treffen, deren Bedingungen den Schutz personenbezogener Daten mindestens ebenso gut gewährleisten wie die in dieser JCA und der </w:t>
      </w:r>
      <w:bookmarkEnd w:id="2"/>
      <w:r w:rsidRPr="39BC363E" w:rsidR="00186DAF">
        <w:rPr>
          <w:rFonts w:ascii="Times New Roman" w:hAnsi="Times New Roman" w:eastAsia="Times New Roman" w:cs="Times New Roman"/>
          <w:spacing w:val="-2"/>
          <w:sz w:val="22"/>
          <w:szCs w:val="22"/>
        </w:rPr>
        <w:t>Vereinbarung</w:t>
      </w:r>
      <w:bookmarkStart w:name="_Hlk24881687" w:id="4"/>
      <w:r w:rsidRPr="39BC363E" w:rsidR="00186DAF">
        <w:rPr>
          <w:rFonts w:ascii="Times New Roman" w:hAnsi="Times New Roman" w:eastAsia="Times New Roman" w:cs="Times New Roman"/>
          <w:spacing w:val="-2"/>
          <w:sz w:val="22"/>
          <w:szCs w:val="22"/>
        </w:rPr>
        <w:t xml:space="preserve"> dargelegten Verpflichtungen.</w:t>
      </w:r>
    </w:p>
    <w:p w:rsidRPr="00AC5F8D" w:rsidR="00186DAF" w:rsidP="39BC363E" w:rsidRDefault="001E2AEC" w14:paraId="2F0E89DD" w14:textId="3905005E">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E2AEC">
        <w:rPr>
          <w:rFonts w:ascii="Times New Roman" w:hAnsi="Times New Roman" w:eastAsia="Times New Roman" w:cs="Times New Roman"/>
          <w:sz w:val="22"/>
          <w:szCs w:val="22"/>
        </w:rPr>
        <w:t xml:space="preserve">ist der Anbieter nicht </w:t>
      </w:r>
      <w:bookmarkStart w:name="_Hlk40721290" w:id="5"/>
      <w:r w:rsidRPr="39BC363E" w:rsidR="001E2AEC">
        <w:rPr>
          <w:rFonts w:ascii="Times New Roman" w:hAnsi="Times New Roman" w:eastAsia="Times New Roman" w:cs="Times New Roman"/>
          <w:sz w:val="22"/>
          <w:szCs w:val="22"/>
        </w:rPr>
        <w:t>berechtigt, persönliche Daten zu verkaufen, weiterzugeben, zu speichern, zu verwenden oder offenzulegen, es sei denn, dies ist in der Vereinbarung festgelegt oder anderweitig im</w:t>
      </w:r>
      <w:r w:rsidRPr="39BC363E" w:rsidR="00AC5F8D">
        <w:rPr>
          <w:rFonts w:ascii="Times New Roman" w:hAnsi="Times New Roman" w:eastAsia="Times New Roman" w:cs="Times New Roman"/>
          <w:sz w:val="22"/>
          <w:szCs w:val="22"/>
        </w:rPr>
        <w:t> </w:t>
      </w:r>
      <w:r w:rsidRPr="39BC363E" w:rsidR="001E2AEC">
        <w:rPr>
          <w:rFonts w:ascii="Times New Roman" w:hAnsi="Times New Roman" w:eastAsia="Times New Roman" w:cs="Times New Roman"/>
          <w:sz w:val="22"/>
          <w:szCs w:val="22"/>
        </w:rPr>
        <w:t xml:space="preserve">Rahmen dieser </w:t>
      </w:r>
      <w:bookmarkEnd w:id="4"/>
      <w:bookmarkEnd w:id="5"/>
      <w:r w:rsidRPr="39BC363E" w:rsidR="001E2AEC">
        <w:rPr>
          <w:rFonts w:ascii="Times New Roman" w:hAnsi="Times New Roman" w:eastAsia="Times New Roman" w:cs="Times New Roman"/>
          <w:sz w:val="22"/>
          <w:szCs w:val="22"/>
        </w:rPr>
        <w:t xml:space="preserve">JCA genehmigt. </w:t>
      </w:r>
      <w:bookmarkEnd w:id="3"/>
    </w:p>
    <w:p w:rsidRPr="00AC5F8D" w:rsidR="00186DAF" w:rsidP="39BC363E" w:rsidRDefault="00186DAF" w14:paraId="5BCBC092" w14:textId="21773E6A">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9BC363E" w:rsidR="00186DAF">
        <w:rPr>
          <w:rFonts w:ascii="Times New Roman" w:hAnsi="Times New Roman" w:eastAsia="Times New Roman" w:cs="Times New Roman"/>
          <w:spacing w:val="-2"/>
          <w:sz w:val="22"/>
          <w:szCs w:val="22"/>
        </w:rPr>
        <w:t>haftet der Anbieter in vollem Umfang für alle Handlungen oder Unterlassungen seiner Mitarbeitenden, verbundenen Unternehmen, Vertreter, Nachunternehmer oder anderen Beauftragten.</w:t>
      </w:r>
      <w:bookmarkStart w:name="_Hlk3788840" w:id="6"/>
    </w:p>
    <w:p w:rsidRPr="00AC5F8D" w:rsidR="00186DAF" w:rsidP="39BC363E" w:rsidRDefault="00186DAF" w14:paraId="32A78059" w14:textId="366E3FEE">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9BC363E" w:rsidR="00186DAF">
        <w:rPr>
          <w:rFonts w:ascii="Times New Roman" w:hAnsi="Times New Roman" w:eastAsia="Times New Roman" w:cs="Times New Roman"/>
          <w:spacing w:val="-2"/>
          <w:sz w:val="22"/>
          <w:szCs w:val="22"/>
        </w:rPr>
        <w:t xml:space="preserve">implementiert und pflegt der Anbieter angemessene und geeignete schriftliche Informationssicherheits- und Datenschutzprogramme, die </w:t>
      </w:r>
      <w:bookmarkStart w:name="_Hlk11921675" w:id="7"/>
      <w:r w:rsidRPr="39BC363E" w:rsidR="00186DAF">
        <w:rPr>
          <w:rFonts w:ascii="Times New Roman" w:hAnsi="Times New Roman" w:eastAsia="Times New Roman" w:cs="Times New Roman"/>
          <w:spacing w:val="-2"/>
          <w:sz w:val="22"/>
          <w:szCs w:val="22"/>
        </w:rPr>
        <w:t>physische, technische und organisatorische Maßnahmen umfassen, die</w:t>
      </w:r>
      <w:r w:rsidRPr="39BC363E" w:rsidR="00AC5F8D">
        <w:rPr>
          <w:rFonts w:ascii="Times New Roman" w:hAnsi="Times New Roman" w:eastAsia="Times New Roman" w:cs="Times New Roman"/>
          <w:spacing w:val="-2"/>
          <w:sz w:val="22"/>
          <w:szCs w:val="22"/>
        </w:rPr>
        <w:t> </w:t>
      </w:r>
      <w:r w:rsidRPr="39BC363E" w:rsidR="00186DAF">
        <w:rPr>
          <w:rFonts w:ascii="Times New Roman" w:hAnsi="Times New Roman" w:eastAsia="Times New Roman" w:cs="Times New Roman"/>
          <w:spacing w:val="-2"/>
          <w:sz w:val="22"/>
          <w:szCs w:val="22"/>
        </w:rPr>
        <w:t>der Art der im Zusammenhang mit der Vereinbarung verarbeiteten personenbezogenen Daten entsprechen, die die guten Branchenverfahren erfüllen oder übertreffen und die einen angemessenen Schutz vor einer Verletzung des Schutzes personenbezogener Daten bieten</w:t>
      </w:r>
      <w:bookmarkEnd w:id="6"/>
      <w:r w:rsidRPr="39BC363E" w:rsidR="00186DAF">
        <w:rPr>
          <w:rFonts w:ascii="Times New Roman" w:hAnsi="Times New Roman" w:eastAsia="Times New Roman" w:cs="Times New Roman"/>
          <w:spacing w:val="-2"/>
          <w:sz w:val="22"/>
          <w:szCs w:val="22"/>
        </w:rPr>
        <w:t>, einschließlich der Schulung aller für die Verarbeitung personenbezogener Daten verantwortlichen Mitarbeiter in einer Weise, die ausreicht, um die Anforderungen dieser JCA zu erfüllen, und bei Bedarf</w:t>
      </w:r>
      <w:bookmarkEnd w:id="7"/>
      <w:r w:rsidRPr="39BC363E" w:rsidR="00186DAF">
        <w:rPr>
          <w:rFonts w:ascii="Times New Roman" w:hAnsi="Times New Roman" w:eastAsia="Times New Roman" w:cs="Times New Roman"/>
          <w:spacing w:val="-2"/>
          <w:sz w:val="22"/>
          <w:szCs w:val="22"/>
        </w:rPr>
        <w:t>:</w:t>
      </w:r>
      <w:bookmarkStart w:name="_Hlk951636" w:id="8"/>
      <w:bookmarkStart w:name="_Hlk525722286" w:id="9"/>
    </w:p>
    <w:p w:rsidRPr="00AC5F8D" w:rsidR="00186DAF" w:rsidP="39BC363E" w:rsidRDefault="00186DAF" w14:paraId="5EF3B1F8" w14:textId="0A557564">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die Pseudonymisierung und Verschlüsselung von personenbezogenen Daten</w:t>
      </w:r>
      <w:bookmarkEnd w:id="8"/>
      <w:r w:rsidRPr="39BC363E" w:rsidR="00186DAF">
        <w:rPr>
          <w:rFonts w:ascii="Times New Roman" w:hAnsi="Times New Roman" w:eastAsia="Times New Roman" w:cs="Times New Roman"/>
          <w:sz w:val="22"/>
          <w:szCs w:val="22"/>
        </w:rPr>
        <w:t>;</w:t>
      </w:r>
      <w:bookmarkStart w:name="_Hlk951652" w:id="10"/>
    </w:p>
    <w:p w:rsidRPr="00AC5F8D" w:rsidR="00186DAF" w:rsidP="39BC363E" w:rsidRDefault="00186DAF" w14:paraId="45FF568D" w14:textId="77777777">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die Möglichkeit, die ständige Vertraulichkeit, Integrität, Verfügbarkeit und Stabilität der Verarbeitungssysteme und Verarbeitungsdienste zu gewährleisten</w:t>
      </w:r>
      <w:bookmarkEnd w:id="10"/>
      <w:r w:rsidRPr="39BC363E" w:rsidR="00186DAF">
        <w:rPr>
          <w:rFonts w:ascii="Times New Roman" w:hAnsi="Times New Roman" w:eastAsia="Times New Roman" w:cs="Times New Roman"/>
          <w:sz w:val="22"/>
          <w:szCs w:val="22"/>
        </w:rPr>
        <w:t>;</w:t>
      </w:r>
      <w:bookmarkStart w:name="_Hlk951664" w:id="11"/>
    </w:p>
    <w:p w:rsidRPr="00AC5F8D" w:rsidR="00186DAF" w:rsidP="39BC363E" w:rsidRDefault="00186DAF" w14:paraId="6FA848CB" w14:textId="77777777">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die Möglichkeit, bei technischen Zwischenfällen die Verfügbarkeit und den Zugriff auf personenbezogene Daten rasch wieder herzustellen</w:t>
      </w:r>
      <w:bookmarkEnd w:id="11"/>
      <w:r w:rsidRPr="39BC363E" w:rsidR="00186DAF">
        <w:rPr>
          <w:rFonts w:ascii="Times New Roman" w:hAnsi="Times New Roman" w:eastAsia="Times New Roman" w:cs="Times New Roman"/>
          <w:sz w:val="22"/>
          <w:szCs w:val="22"/>
        </w:rPr>
        <w:t>;</w:t>
      </w:r>
      <w:bookmarkStart w:name="_Hlk951688" w:id="12"/>
    </w:p>
    <w:p w:rsidRPr="00AC5F8D" w:rsidR="00186DAF" w:rsidP="39BC363E" w:rsidRDefault="00186DAF" w14:paraId="25FD9154" w14:textId="138D765E">
      <w:pPr>
        <w:pStyle w:val="BodyText"/>
        <w:numPr>
          <w:ilvl w:val="2"/>
          <w:numId w:val="29"/>
        </w:numPr>
        <w:spacing w:before="192" w:beforeLines="80" w:after="192" w:afterLines="80" w:line="240" w:lineRule="auto"/>
        <w:rPr>
          <w:rFonts w:ascii="Times New Roman" w:hAnsi="Times New Roman" w:eastAsia="Times New Roman" w:cs="Times New Roman"/>
          <w:spacing w:val="-2"/>
          <w:sz w:val="22"/>
          <w:szCs w:val="22"/>
        </w:rPr>
      </w:pPr>
      <w:r w:rsidRPr="39BC363E" w:rsidR="00186DAF">
        <w:rPr>
          <w:rFonts w:ascii="Times New Roman" w:hAnsi="Times New Roman" w:eastAsia="Times New Roman" w:cs="Times New Roman"/>
          <w:spacing w:val="-2"/>
          <w:sz w:val="22"/>
          <w:szCs w:val="22"/>
        </w:rPr>
        <w:t>ein Verfahren für die regelmäßige Prüfung, Bewertung und Evaluierung der Effektivität technischer und organisatorischer Maßnahmen zur Gewährleistung der Verarbeitungssicherheit; und</w:t>
      </w:r>
      <w:bookmarkEnd w:id="12"/>
      <w:r w:rsidRPr="39BC363E" w:rsidR="00186DAF">
        <w:rPr>
          <w:rFonts w:ascii="Times New Roman" w:hAnsi="Times New Roman" w:eastAsia="Times New Roman" w:cs="Times New Roman"/>
          <w:spacing w:val="-2"/>
          <w:sz w:val="22"/>
          <w:szCs w:val="22"/>
        </w:rPr>
        <w:t xml:space="preserve"> </w:t>
      </w:r>
      <w:bookmarkStart w:name="_Hlk951707" w:id="13"/>
    </w:p>
    <w:p w:rsidRPr="00AC5F8D" w:rsidR="00186DAF" w:rsidP="39BC363E" w:rsidRDefault="00186DAF" w14:paraId="0BBD077B" w14:textId="0F4CD958">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die Möglichkeit, innerhalb von 72 Stunden nach der Erkennung zu bestätigen, ob ein Ereignis eine Verletzung des Schutzes personenbezogener Daten darstellt</w:t>
      </w:r>
      <w:bookmarkEnd w:id="13"/>
      <w:r w:rsidRPr="39BC363E" w:rsidR="00186DAF">
        <w:rPr>
          <w:rFonts w:ascii="Times New Roman" w:hAnsi="Times New Roman" w:eastAsia="Times New Roman" w:cs="Times New Roman"/>
          <w:sz w:val="22"/>
          <w:szCs w:val="22"/>
        </w:rPr>
        <w:t xml:space="preserve">. </w:t>
      </w:r>
      <w:bookmarkStart w:name="_Hlk962346" w:id="14"/>
      <w:bookmarkStart w:name="_Hlk3787016" w:id="15"/>
      <w:bookmarkEnd w:id="9"/>
    </w:p>
    <w:p w:rsidRPr="00AC5F8D" w:rsidR="00825AD1" w:rsidP="39BC363E" w:rsidRDefault="00186DAF" w14:paraId="65FD2E07" w14:textId="5B90EC9B">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9BC363E" w:rsidR="00186DAF">
        <w:rPr>
          <w:rFonts w:ascii="Times New Roman" w:hAnsi="Times New Roman" w:eastAsia="Times New Roman" w:cs="Times New Roman"/>
          <w:spacing w:val="-2"/>
          <w:sz w:val="22"/>
          <w:szCs w:val="22"/>
        </w:rPr>
        <w:t xml:space="preserve">Im Falle einer tatsächlichen oder hinreichend vermuteten Verletzung des Schutzes personenbezogener Daten benachrichtigt die entdeckende Partei die andere Partei unverzüglich </w:t>
      </w:r>
      <w:bookmarkStart w:name="_Hlk525722648" w:id="16"/>
      <w:r w:rsidRPr="39BC363E" w:rsidR="00186DAF">
        <w:rPr>
          <w:rFonts w:ascii="Times New Roman" w:hAnsi="Times New Roman" w:eastAsia="Times New Roman" w:cs="Times New Roman"/>
          <w:spacing w:val="-2"/>
          <w:sz w:val="22"/>
          <w:szCs w:val="22"/>
        </w:rPr>
        <w:t>(und in jedem Fall innerhalb von 24 Stunden, nachdem sie von der Verletzung des Schutzes personenbezogener Daten Kenntnis erlangt hat)</w:t>
      </w:r>
      <w:bookmarkEnd w:id="16"/>
      <w:r w:rsidRPr="39BC363E" w:rsidR="00186DAF">
        <w:rPr>
          <w:rFonts w:ascii="Times New Roman" w:hAnsi="Times New Roman" w:eastAsia="Times New Roman" w:cs="Times New Roman"/>
          <w:spacing w:val="-2"/>
          <w:sz w:val="22"/>
          <w:szCs w:val="22"/>
        </w:rPr>
        <w:t xml:space="preserve"> und arbeitet mit der anderen Partei zusammen, um eine angemessene Vorgehensweise zu bestimmen.</w:t>
      </w:r>
    </w:p>
    <w:p w:rsidRPr="00AC5F8D" w:rsidR="00186DAF" w:rsidP="39BC363E" w:rsidRDefault="00186DAF" w14:paraId="11910041" w14:textId="007AE03C">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bookmarkStart w:name="_Hlk525723727" w:id="17"/>
      <w:bookmarkEnd w:id="14"/>
      <w:bookmarkEnd w:id="15"/>
      <w:r w:rsidRPr="39BC363E" w:rsidR="00186DAF">
        <w:rPr>
          <w:rFonts w:ascii="Times New Roman" w:hAnsi="Times New Roman" w:eastAsia="Times New Roman" w:cs="Times New Roman"/>
          <w:sz w:val="22"/>
          <w:szCs w:val="22"/>
        </w:rPr>
        <w:t xml:space="preserve">Beide Parteien benachrichtigen die jeweils andere Partei unverzüglich </w:t>
      </w:r>
      <w:bookmarkStart w:name="_Hlk525723090" w:id="18"/>
      <w:r w:rsidRPr="39BC363E" w:rsidR="00186DAF">
        <w:rPr>
          <w:rFonts w:ascii="Times New Roman" w:hAnsi="Times New Roman" w:eastAsia="Times New Roman" w:cs="Times New Roman"/>
          <w:sz w:val="22"/>
          <w:szCs w:val="22"/>
        </w:rPr>
        <w:t>und in jedem Fall innerhalb von 24 Stunden</w:t>
      </w:r>
      <w:bookmarkEnd w:id="18"/>
      <w:r w:rsidRPr="39BC363E" w:rsidR="00186DAF">
        <w:rPr>
          <w:rFonts w:ascii="Times New Roman" w:hAnsi="Times New Roman" w:eastAsia="Times New Roman" w:cs="Times New Roman"/>
          <w:sz w:val="22"/>
          <w:szCs w:val="22"/>
        </w:rPr>
        <w:t xml:space="preserve"> über</w:t>
      </w:r>
      <w:bookmarkEnd w:id="17"/>
      <w:r w:rsidRPr="39BC363E" w:rsidR="00186DAF">
        <w:rPr>
          <w:rFonts w:ascii="Times New Roman" w:hAnsi="Times New Roman" w:eastAsia="Times New Roman" w:cs="Times New Roman"/>
          <w:sz w:val="22"/>
          <w:szCs w:val="22"/>
        </w:rPr>
        <w:t xml:space="preserve">: </w:t>
      </w:r>
    </w:p>
    <w:p w:rsidRPr="00AC5F8D" w:rsidR="00186DAF" w:rsidP="39BC363E" w:rsidRDefault="00186DAF" w14:paraId="02C36B40" w14:textId="087A4239">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jede/n/s Beschwerde, Anfrage, Antrag oder Anliegen einer zuständigen Datenschutz- oder sonstigen Aufsichtsbehörde in Bezug auf personenbezogene Daten, die der Anbieter im Zusammenhang mit der Vereinbarung verarbeitet und </w:t>
      </w:r>
    </w:p>
    <w:p w:rsidRPr="00AC5F8D" w:rsidR="00186DAF" w:rsidP="39BC363E" w:rsidRDefault="00186DAF" w14:paraId="1DF61B1E" w14:textId="4F5D5DEC">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jede/n/s Beschwerde, Anfrage, Antrag oder Anliegen einer betroffenen Person in Bezug auf personenbezogene Daten im Zusammenhang mit der Vereinbarung, einschließlich der Ausübung von Rechten nach dem Datenschutzgesetz oder der Datenschutzrichtlinie der jeweiligen Partei, wie</w:t>
      </w:r>
      <w:r w:rsidRPr="39BC363E" w:rsidR="00AC5F8D">
        <w:rPr>
          <w:rFonts w:ascii="Times New Roman" w:hAnsi="Times New Roman" w:eastAsia="Times New Roman" w:cs="Times New Roman"/>
          <w:sz w:val="22"/>
          <w:szCs w:val="22"/>
        </w:rPr>
        <w:t> </w:t>
      </w:r>
      <w:r w:rsidRPr="39BC363E" w:rsidR="00186DAF">
        <w:rPr>
          <w:rFonts w:ascii="Times New Roman" w:hAnsi="Times New Roman" w:eastAsia="Times New Roman" w:cs="Times New Roman"/>
          <w:sz w:val="22"/>
          <w:szCs w:val="22"/>
        </w:rPr>
        <w:t>z. B. das Recht auf Zugang, Berichtigung, Ergänzung, Korrektur, Freigabe, Löschung oder Einstellung der Verarbeitung ihrer personenbezogenen Daten.</w:t>
      </w:r>
    </w:p>
    <w:p w:rsidRPr="00AC5F8D" w:rsidR="00186DAF" w:rsidP="39BC363E" w:rsidRDefault="00EC6C23" w14:paraId="057B0F78" w14:textId="56D4C7CB">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EC6C23">
        <w:rPr>
          <w:rFonts w:ascii="Times New Roman" w:hAnsi="Times New Roman" w:eastAsia="Times New Roman" w:cs="Times New Roman"/>
          <w:sz w:val="22"/>
          <w:szCs w:val="22"/>
        </w:rPr>
        <w:t xml:space="preserve">Beide Parteien werden alle angemessenen und geeigneten Maßnahmen ergreifen, die von der jeweils anderen Partei verlangt werden und die notwendig sind, </w:t>
      </w:r>
      <w:bookmarkStart w:name="_Hlk950041" w:id="19"/>
      <w:r w:rsidRPr="39BC363E" w:rsidR="00EC6C23">
        <w:rPr>
          <w:rFonts w:ascii="Times New Roman" w:hAnsi="Times New Roman" w:eastAsia="Times New Roman" w:cs="Times New Roman"/>
          <w:sz w:val="22"/>
          <w:szCs w:val="22"/>
        </w:rPr>
        <w:t xml:space="preserve">damit beide Parteien ihren jeweiligen Verpflichtungen gemäß dem Datenschutzgesetz und dieser JCA nachkommen können; </w:t>
      </w:r>
      <w:bookmarkStart w:name="_Hlk3790096" w:id="20"/>
      <w:bookmarkEnd w:id="19"/>
    </w:p>
    <w:p w:rsidRPr="00AC5F8D" w:rsidR="00186DAF" w:rsidP="39BC363E" w:rsidRDefault="0025404B" w14:paraId="5D0D103C" w14:textId="22B000B1">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25404B">
        <w:rPr>
          <w:rFonts w:ascii="Times New Roman" w:hAnsi="Times New Roman" w:eastAsia="Times New Roman" w:cs="Times New Roman"/>
          <w:sz w:val="22"/>
          <w:szCs w:val="22"/>
        </w:rPr>
        <w:t xml:space="preserve">Keine der Parteien darf personenbezogene Daten nicht länger aufbewahren als dies für die Erfüllung des gemeinsamen Zwecks erforderlich ist, sofern das geltende Recht nichts anderes vorschreibt. </w:t>
      </w:r>
      <w:bookmarkEnd w:id="20"/>
    </w:p>
    <w:p w:rsidRPr="00AC5F8D" w:rsidR="00186DAF" w:rsidP="39BC363E" w:rsidRDefault="00186DAF" w14:paraId="5934BCFD" w14:textId="0EA00948">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Beide Parteien wahren die Richtigkeit und Integrität der personenbezogenen Daten, die dieser JCA unterliegen.</w:t>
      </w:r>
      <w:bookmarkStart w:name="_Hlk3818132" w:id="21"/>
    </w:p>
    <w:p w:rsidRPr="00AC5F8D" w:rsidR="00923069" w:rsidP="39BC363E" w:rsidRDefault="00923069" w14:paraId="4D3E87AD" w14:textId="28734D73">
      <w:pPr>
        <w:pStyle w:val="ListParagraph"/>
        <w:numPr>
          <w:ilvl w:val="1"/>
          <w:numId w:val="29"/>
        </w:numPr>
        <w:rPr>
          <w:rFonts w:ascii="Times New Roman" w:hAnsi="Times New Roman" w:eastAsia="Times New Roman" w:cs="Times New Roman"/>
          <w:sz w:val="22"/>
          <w:szCs w:val="22"/>
        </w:rPr>
      </w:pPr>
      <w:r w:rsidRPr="39BC363E" w:rsidR="00923069">
        <w:rPr>
          <w:rFonts w:ascii="Times New Roman" w:hAnsi="Times New Roman" w:eastAsia="Times New Roman" w:cs="Times New Roman"/>
          <w:sz w:val="22"/>
          <w:szCs w:val="22"/>
        </w:rPr>
        <w:t>Beide Parteien informieren in Übereinstimmung mit den Bedingungen der Vereinbarung jede betroffene Person, deren personenbezogenen Daten im Zusammenhang mit der Vereinbarung erfasst werden, und holen deren Zustimmung ein.</w:t>
      </w:r>
    </w:p>
    <w:p w:rsidRPr="00AC5F8D" w:rsidR="00186DAF" w:rsidP="39BC363E" w:rsidRDefault="00186DAF" w14:paraId="57432507" w14:textId="1520C282">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Beide Parteien müssen alle Aufzeichnungen bewahren, die für den Nachweis erforderlich sind, dass personenbezogene Daten ausschließlich in Übereinstimmung mit den einschlägigen Hinweisen, Einverständniserklärungen und Rechten und gemäß dieser JCA verarbeitet wurden, damit beide Parteien die Datenschutzbestimmungen einhalten können</w:t>
      </w:r>
      <w:bookmarkEnd w:id="21"/>
      <w:r w:rsidRPr="39BC363E" w:rsidR="00186DAF">
        <w:rPr>
          <w:rFonts w:ascii="Times New Roman" w:hAnsi="Times New Roman" w:eastAsia="Times New Roman" w:cs="Times New Roman"/>
          <w:sz w:val="22"/>
          <w:szCs w:val="22"/>
        </w:rPr>
        <w:t>.</w:t>
      </w:r>
    </w:p>
    <w:p w:rsidRPr="00AC5F8D" w:rsidR="00186DAF" w:rsidP="39BC363E" w:rsidRDefault="00186DAF" w14:paraId="12B383F0" w14:textId="1C215740">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Soweit eine der Parteien personenbezogene Daten von Betroffenen aus einem Land oder einer Region verarbeitet, in dem/der Beschränkungen für die grenzüberschreitende Übermittlung personenbezogener Daten bestehen, dürfen beide Parteien dies nur unter Einhaltung der Datenschutzgesetze tun, wozu unter anderem der Abschluss von Standardvertragsklauseln oder ähnlichen Mechanismen zum Schutz der Übermittlung personenbezogener Daten gehören kann. </w:t>
      </w:r>
    </w:p>
    <w:p w:rsidRPr="00AC5F8D" w:rsidR="00186DAF" w:rsidP="39BC363E" w:rsidRDefault="00E95A6F" w14:paraId="19B08E52" w14:textId="693C6BBC">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bookmarkStart w:name="_Hlk3967478" w:id="22"/>
      <w:bookmarkStart w:name="_Hlk532912029" w:id="23"/>
      <w:r w:rsidRPr="39BC363E" w:rsidR="00E95A6F">
        <w:rPr>
          <w:rFonts w:ascii="Times New Roman" w:hAnsi="Times New Roman" w:eastAsia="Times New Roman" w:cs="Times New Roman"/>
          <w:sz w:val="22"/>
          <w:szCs w:val="22"/>
        </w:rPr>
        <w:t>Mit Ausnahme von Änderungen, die im Einklang mit einem höheren Industriestandard oder dem Datenschutzgesetz vorgenommen werden, müssen beide Parteien die Datenschutz- und Datensicherheitspraktiken, die sie der jeweils anderen Partei in Verbindung mit einer Due-Diligence-Prüfung, die die andere Partei zuletzt im Zusammenhang mit der</w:t>
      </w:r>
      <w:bookmarkStart w:name="_Hlk40594752" w:id="24"/>
      <w:r w:rsidRPr="39BC363E" w:rsidR="00E95A6F">
        <w:rPr>
          <w:rFonts w:ascii="Times New Roman" w:hAnsi="Times New Roman" w:eastAsia="Times New Roman" w:cs="Times New Roman"/>
          <w:sz w:val="22"/>
          <w:szCs w:val="22"/>
        </w:rPr>
        <w:t xml:space="preserve"> Vereinbarung</w:t>
      </w:r>
      <w:bookmarkEnd w:id="22"/>
      <w:bookmarkEnd w:id="24"/>
      <w:r w:rsidRPr="39BC363E" w:rsidR="00E95A6F">
        <w:rPr>
          <w:rFonts w:ascii="Times New Roman" w:hAnsi="Times New Roman" w:eastAsia="Times New Roman" w:cs="Times New Roman"/>
          <w:sz w:val="22"/>
          <w:szCs w:val="22"/>
        </w:rPr>
        <w:t xml:space="preserve"> durchgeführt hat, offengelegt haben, beibehalten und konsequent anwenden.</w:t>
      </w:r>
    </w:p>
    <w:bookmarkEnd w:id="23"/>
    <w:p w:rsidRPr="00AC5F8D" w:rsidR="00186DAF" w:rsidP="39BC363E" w:rsidRDefault="00E95A6F" w14:paraId="204DDC72" w14:textId="0EE668D5">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E95A6F">
        <w:rPr>
          <w:rFonts w:ascii="Times New Roman" w:hAnsi="Times New Roman" w:eastAsia="Times New Roman" w:cs="Times New Roman"/>
          <w:sz w:val="22"/>
          <w:szCs w:val="22"/>
        </w:rPr>
        <w:t>die Parteien nehmen zur Kenntnis und sind damit einverstanden, dass die Unterzeichnung dieser JCA die Bestätigung darstellt, dass sie die in dieser JCA dargelegten Einschränkungen verstehen und diese einhalten werden.</w:t>
      </w:r>
    </w:p>
    <w:p w:rsidRPr="00AC5F8D" w:rsidR="00EF7673" w:rsidP="39BC363E" w:rsidRDefault="00EF7673" w14:paraId="5010A2AC" w14:textId="77777777">
      <w:pPr>
        <w:pStyle w:val="BodyText"/>
        <w:numPr>
          <w:ilvl w:val="0"/>
          <w:numId w:val="29"/>
        </w:numPr>
        <w:spacing w:before="192" w:beforeLines="80" w:after="192" w:afterLines="80" w:line="240" w:lineRule="auto"/>
        <w:rPr>
          <w:rFonts w:ascii="Times New Roman" w:hAnsi="Times New Roman" w:eastAsia="Times New Roman" w:cs="Times New Roman"/>
          <w:i w:val="1"/>
          <w:iCs w:val="1"/>
          <w:sz w:val="22"/>
          <w:szCs w:val="22"/>
        </w:rPr>
      </w:pPr>
      <w:bookmarkStart w:name="_Hlk527960187" w:id="25"/>
      <w:r w:rsidRPr="39BC363E" w:rsidR="00EF7673">
        <w:rPr>
          <w:rFonts w:ascii="Times New Roman" w:hAnsi="Times New Roman" w:eastAsia="Times New Roman" w:cs="Times New Roman"/>
          <w:i w:val="1"/>
          <w:iCs w:val="1"/>
          <w:sz w:val="22"/>
          <w:szCs w:val="22"/>
        </w:rPr>
        <w:t>Definitionen</w:t>
      </w:r>
    </w:p>
    <w:p w:rsidRPr="00AC5F8D" w:rsidR="00EF7673" w:rsidP="39BC363E" w:rsidRDefault="00EF7673" w14:paraId="34CA2800" w14:textId="59484078">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EF7673">
        <w:rPr>
          <w:rFonts w:ascii="Times New Roman" w:hAnsi="Times New Roman" w:eastAsia="Times New Roman" w:cs="Times New Roman"/>
          <w:sz w:val="22"/>
          <w:szCs w:val="22"/>
        </w:rPr>
        <w:t>„Datenschutzgesetz</w:t>
      </w:r>
      <w:r w:rsidRPr="39BC363E" w:rsidR="00CC797F">
        <w:rPr>
          <w:rFonts w:ascii="Times New Roman" w:hAnsi="Times New Roman" w:eastAsia="Times New Roman" w:cs="Times New Roman"/>
          <w:sz w:val="22"/>
          <w:szCs w:val="22"/>
        </w:rPr>
        <w:t>“</w:t>
      </w:r>
      <w:r w:rsidRPr="39BC363E" w:rsidR="00EF7673">
        <w:rPr>
          <w:rFonts w:ascii="Times New Roman" w:hAnsi="Times New Roman" w:eastAsia="Times New Roman" w:cs="Times New Roman"/>
          <w:sz w:val="22"/>
          <w:szCs w:val="22"/>
        </w:rPr>
        <w:t xml:space="preserve"> bezeichnet alle anwendbaren Gesetze zum Datenschutz, zur Datensicherheit oder zum Schutz der Privatsphäre, einschließlich der EU-Datenschutzgrundverordnung und aller damit verbundenen nationalen Umsetzungsgesetze, des Health Insurance </w:t>
      </w:r>
      <w:r w:rsidRPr="39BC363E" w:rsidR="00EF7673">
        <w:rPr>
          <w:rFonts w:ascii="Times New Roman" w:hAnsi="Times New Roman" w:eastAsia="Times New Roman" w:cs="Times New Roman"/>
          <w:sz w:val="22"/>
          <w:szCs w:val="22"/>
        </w:rPr>
        <w:t>Portability</w:t>
      </w:r>
      <w:r w:rsidRPr="39BC363E" w:rsidR="00EF7673">
        <w:rPr>
          <w:rFonts w:ascii="Times New Roman" w:hAnsi="Times New Roman" w:eastAsia="Times New Roman" w:cs="Times New Roman"/>
          <w:sz w:val="22"/>
          <w:szCs w:val="22"/>
        </w:rPr>
        <w:t xml:space="preserve"> and </w:t>
      </w:r>
      <w:r w:rsidRPr="39BC363E" w:rsidR="00EF7673">
        <w:rPr>
          <w:rFonts w:ascii="Times New Roman" w:hAnsi="Times New Roman" w:eastAsia="Times New Roman" w:cs="Times New Roman"/>
          <w:sz w:val="22"/>
          <w:szCs w:val="22"/>
        </w:rPr>
        <w:t>Accountability</w:t>
      </w:r>
      <w:r w:rsidRPr="39BC363E" w:rsidR="00EF7673">
        <w:rPr>
          <w:rFonts w:ascii="Times New Roman" w:hAnsi="Times New Roman" w:eastAsia="Times New Roman" w:cs="Times New Roman"/>
          <w:sz w:val="22"/>
          <w:szCs w:val="22"/>
        </w:rPr>
        <w:t xml:space="preserve"> Act, des California Privacy Rights Act und aller anderen nationalen, staatlichen, bundesweiten, landesweiten oder regionalen Gesetze zum Datenschutz, zur Datensicherheit oder zum Schutz der Privatsphäre.</w:t>
      </w:r>
    </w:p>
    <w:p w:rsidRPr="00AC5F8D" w:rsidR="001262B3" w:rsidP="39BC363E" w:rsidRDefault="001262B3" w14:paraId="5DB8F73D" w14:textId="4D83D81C">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262B3">
        <w:rPr>
          <w:rFonts w:ascii="Times New Roman" w:hAnsi="Times New Roman" w:eastAsia="Times New Roman" w:cs="Times New Roman"/>
          <w:sz w:val="22"/>
          <w:szCs w:val="22"/>
        </w:rPr>
        <w:t>„Personenbezogene Daten</w:t>
      </w:r>
      <w:r w:rsidRPr="39BC363E" w:rsidR="00CC797F">
        <w:rPr>
          <w:rFonts w:ascii="Times New Roman" w:hAnsi="Times New Roman" w:eastAsia="Times New Roman" w:cs="Times New Roman"/>
          <w:sz w:val="22"/>
          <w:szCs w:val="22"/>
        </w:rPr>
        <w:t>“</w:t>
      </w:r>
      <w:r w:rsidRPr="39BC363E" w:rsidR="001262B3">
        <w:rPr>
          <w:rFonts w:ascii="Times New Roman" w:hAnsi="Times New Roman" w:eastAsia="Times New Roman" w:cs="Times New Roman"/>
          <w:sz w:val="22"/>
          <w:szCs w:val="22"/>
        </w:rPr>
        <w:t xml:space="preserve"> bezeichnet alle Daten im Zusammenhang mit der Vereinbarung, die sich auf eine identifizierte oder identifizierbare Person beziehen, einschließlich Daten, die eine Person identifizieren oder die verwendet werden könnten, um eine Person zu identifizieren, zu lokalisieren, </w:t>
      </w:r>
      <w:r w:rsidRPr="39BC363E" w:rsidR="001262B3">
        <w:rPr>
          <w:rFonts w:ascii="Times New Roman" w:hAnsi="Times New Roman" w:eastAsia="Times New Roman" w:cs="Times New Roman"/>
          <w:sz w:val="22"/>
          <w:szCs w:val="22"/>
        </w:rPr>
        <w:t xml:space="preserve">zu verfolgen oder zu kontaktieren. Personenbezogene Daten umfassen sowohl direkt identifizierbare Informationen, wie z. B. Name, Identifikationsnummer oder eindeutige Berufsbezeichnung, als auch indirekt identifizierbare Informationen, wie z. B. Geburtsdatum, eindeutige Kennung eines mobilen oder tragbaren Geräts, Informationen, die zur Identifizierung eines Haushalts verwendet werden könnten, Telefonnummern, verschlüsselte Daten, Online-Kennungen, wie z. B. IP-Adressen, oder persönliche Aktivitäten, Verhaltensweisen oder Vorlieben, und umfassen alle Daten, die im Sinne des Datenschutzgesetzes </w:t>
      </w:r>
      <w:r w:rsidRPr="39BC363E" w:rsidR="00CC797F">
        <w:rPr>
          <w:rFonts w:ascii="Times New Roman" w:hAnsi="Times New Roman" w:eastAsia="Times New Roman" w:cs="Times New Roman"/>
          <w:sz w:val="22"/>
          <w:szCs w:val="22"/>
        </w:rPr>
        <w:t>„</w:t>
      </w:r>
      <w:r w:rsidRPr="39BC363E" w:rsidR="001262B3">
        <w:rPr>
          <w:rFonts w:ascii="Times New Roman" w:hAnsi="Times New Roman" w:eastAsia="Times New Roman" w:cs="Times New Roman"/>
          <w:sz w:val="22"/>
          <w:szCs w:val="22"/>
        </w:rPr>
        <w:t>personenbezogene Daten</w:t>
      </w:r>
      <w:r w:rsidRPr="39BC363E" w:rsidR="00CC797F">
        <w:rPr>
          <w:rFonts w:ascii="Times New Roman" w:hAnsi="Times New Roman" w:eastAsia="Times New Roman" w:cs="Times New Roman"/>
          <w:sz w:val="22"/>
          <w:szCs w:val="22"/>
        </w:rPr>
        <w:t>“</w:t>
      </w:r>
      <w:r w:rsidRPr="39BC363E" w:rsidR="001262B3">
        <w:rPr>
          <w:rFonts w:ascii="Times New Roman" w:hAnsi="Times New Roman" w:eastAsia="Times New Roman" w:cs="Times New Roman"/>
          <w:sz w:val="22"/>
          <w:szCs w:val="22"/>
        </w:rPr>
        <w:t xml:space="preserve"> darstellen.</w:t>
      </w:r>
    </w:p>
    <w:p w:rsidRPr="00AC5F8D" w:rsidR="00EF7673" w:rsidP="39BC363E" w:rsidRDefault="00EF7673" w14:paraId="4A346270" w14:textId="5995656E">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EF7673">
        <w:rPr>
          <w:rFonts w:ascii="Times New Roman" w:hAnsi="Times New Roman" w:eastAsia="Times New Roman" w:cs="Times New Roman"/>
          <w:sz w:val="22"/>
          <w:szCs w:val="22"/>
        </w:rPr>
        <w:t>„Verarbeitung</w:t>
      </w:r>
      <w:r w:rsidRPr="39BC363E" w:rsidR="00CC797F">
        <w:rPr>
          <w:rFonts w:ascii="Times New Roman" w:hAnsi="Times New Roman" w:eastAsia="Times New Roman" w:cs="Times New Roman"/>
          <w:sz w:val="22"/>
          <w:szCs w:val="22"/>
        </w:rPr>
        <w:t>“</w:t>
      </w:r>
      <w:r w:rsidRPr="39BC363E" w:rsidR="00EF7673">
        <w:rPr>
          <w:rFonts w:ascii="Times New Roman" w:hAnsi="Times New Roman" w:eastAsia="Times New Roman" w:cs="Times New Roman"/>
          <w:sz w:val="22"/>
          <w:szCs w:val="22"/>
        </w:rPr>
        <w:t xml:space="preserve"> bedeutet die Durchführung von Vorgängen oder einer Reihe von Vorgängen an personenbezogenen Daten oder einem Satz personenbezogener Daten, sei es durch automatisierte Mittel, wie z. B. Erhebung, Aufzeichnung, Organisation, Strukturierung, Speicherung, Zugriff, Anpassung oder Veränderung, Abruf, Abfrage, Nutzung, Offenlegung durch Übermittlung, Verbreitung oder sonstige Bereitstellung, Auswertung, Analyse, Berichterstattung, Weitergabe, Zuordnung oder Verknüpfung, Einschränkung, Löschung oder Vernichtung.</w:t>
      </w:r>
    </w:p>
    <w:p w:rsidRPr="00AC5F8D" w:rsidR="00EF7673" w:rsidP="39BC363E" w:rsidRDefault="00EF7673" w14:paraId="6BAD7335" w14:textId="1B56BE0C">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EF7673">
        <w:rPr>
          <w:rFonts w:ascii="Times New Roman" w:hAnsi="Times New Roman" w:eastAsia="Times New Roman" w:cs="Times New Roman"/>
          <w:sz w:val="22"/>
          <w:szCs w:val="22"/>
        </w:rPr>
        <w:t>„Verletzung des Schutzes personenbezogener Daten“ bezeichnet eine versehentliche oder unrechtmäßige Zerstörung, einen Verlust, eine Änderung, eine unbefugte Offenlegung, Nutzung oder einen unbefugten Zugriff auf personenbezogene Daten, die übermittelt, gespeichert oder anderweitig verarbeitet werden.</w:t>
      </w:r>
    </w:p>
    <w:p w:rsidRPr="00AC5F8D" w:rsidR="001262B3" w:rsidP="39BC363E" w:rsidRDefault="001262B3" w14:paraId="69C58A8E" w14:textId="2D1F8E16">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262B3">
        <w:rPr>
          <w:rFonts w:ascii="Times New Roman" w:hAnsi="Times New Roman" w:eastAsia="Times New Roman" w:cs="Times New Roman"/>
          <w:sz w:val="22"/>
          <w:szCs w:val="22"/>
        </w:rPr>
        <w:t>„Standardvertragsklauseln“ bezeichnet die Standardvertragsklauseln für die Übermittlung personenbezogener Daten in Drittländer, die nach Einschätzung der Europäischen Kommission kein angemessenes Schutzniveau für personenbezogene Daten bieten, gemäß der von der Europäischen Kommission am 4. Juni 2021 veröffentlichten Fassung, die von Zeit zu Zeit aktualisiert werden kann.</w:t>
      </w:r>
    </w:p>
    <w:p w:rsidRPr="00AC5F8D" w:rsidR="00EF7673" w:rsidP="39BC363E" w:rsidRDefault="00EF7673" w14:paraId="72A4BD1C" w14:textId="03220C37">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EF7673">
        <w:rPr>
          <w:rFonts w:ascii="Times New Roman" w:hAnsi="Times New Roman" w:eastAsia="Times New Roman" w:cs="Times New Roman"/>
          <w:sz w:val="22"/>
          <w:szCs w:val="22"/>
        </w:rPr>
        <w:t>Falls diese Definitionen den Geltungsbereich verwandter Definitionen des Datenschutzgesetzes einschränken oder reduzieren, wird die Definition so erweitert, dass sie mit der Definition des betreffenden Datenschutzgesetzes übereinstimmt.</w:t>
      </w:r>
    </w:p>
    <w:p w:rsidRPr="00AC5F8D" w:rsidR="009D4406" w:rsidP="39BC363E" w:rsidRDefault="009D4406" w14:paraId="5C3F7EBD" w14:textId="593E7F3D">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9D4406">
        <w:rPr>
          <w:rFonts w:ascii="Times New Roman" w:hAnsi="Times New Roman" w:eastAsia="Times New Roman" w:cs="Times New Roman"/>
          <w:sz w:val="22"/>
          <w:szCs w:val="22"/>
        </w:rPr>
        <w:t>In Ermangelung einer Definition in diesem Abschnitt ist ein Begriff in einer Weise auszulegen, die mit dem anwendbaren Datenschutzgesetz vereinbar ist.</w:t>
      </w:r>
    </w:p>
    <w:bookmarkEnd w:id="25"/>
    <w:p w:rsidRPr="00AC5F8D" w:rsidR="00186DAF" w:rsidP="39BC363E" w:rsidRDefault="00186DAF" w14:paraId="2A7A6EC1" w14:textId="756AA295">
      <w:pPr>
        <w:pStyle w:val="BodyText"/>
        <w:numPr>
          <w:ilvl w:val="0"/>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u w:val="single"/>
        </w:rPr>
        <w:t>Auslegung</w:t>
      </w:r>
      <w:r w:rsidRPr="39BC363E" w:rsidR="00186DAF">
        <w:rPr>
          <w:rFonts w:ascii="Times New Roman" w:hAnsi="Times New Roman" w:eastAsia="Times New Roman" w:cs="Times New Roman"/>
          <w:sz w:val="22"/>
          <w:szCs w:val="22"/>
        </w:rPr>
        <w:t xml:space="preserve">. </w:t>
      </w:r>
    </w:p>
    <w:p w:rsidRPr="00AC5F8D" w:rsidR="00186DAF" w:rsidP="39BC363E" w:rsidRDefault="00186DAF" w14:paraId="79B92AEA" w14:textId="4FCCAFEC">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Die Wörter „umfassen“ und „einschließlich“ sind so aufzufassen, dass sie „einschließlich ohne Einschränkung</w:t>
      </w:r>
      <w:r w:rsidRPr="39BC363E" w:rsidR="00CC797F">
        <w:rPr>
          <w:rFonts w:ascii="Times New Roman" w:hAnsi="Times New Roman" w:eastAsia="Times New Roman" w:cs="Times New Roman"/>
          <w:sz w:val="22"/>
          <w:szCs w:val="22"/>
        </w:rPr>
        <w:t>“</w:t>
      </w:r>
      <w:r w:rsidRPr="39BC363E" w:rsidR="00186DAF">
        <w:rPr>
          <w:rFonts w:ascii="Times New Roman" w:hAnsi="Times New Roman" w:eastAsia="Times New Roman" w:cs="Times New Roman"/>
          <w:sz w:val="22"/>
          <w:szCs w:val="22"/>
        </w:rPr>
        <w:t xml:space="preserve"> bedeuten. </w:t>
      </w:r>
    </w:p>
    <w:p w:rsidRPr="00AC5F8D" w:rsidR="00186DAF" w:rsidP="39BC363E" w:rsidRDefault="00186DAF" w14:paraId="4FB05D1A" w14:textId="35A2C4B2">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Im Zusammenhang mit dem gemeinsamen Zweck der Vereinbarung können beide Parteien personenbezogene Daten eines oder mehrerer verbundener Unternehmen der anderen Partei verarbeiten. In diesem Fall </w:t>
      </w:r>
      <w:bookmarkStart w:name="_Hlk1139303" w:id="26"/>
      <w:r w:rsidRPr="39BC363E" w:rsidR="00186DAF">
        <w:rPr>
          <w:rFonts w:ascii="Times New Roman" w:hAnsi="Times New Roman" w:eastAsia="Times New Roman" w:cs="Times New Roman"/>
          <w:sz w:val="22"/>
          <w:szCs w:val="22"/>
        </w:rPr>
        <w:t>gilt jedes dieser verbundenen Unternehmen des Unternehmens als „für die Verarbeitung Verantwortlicher</w:t>
      </w:r>
      <w:r w:rsidRPr="39BC363E" w:rsidR="00CC797F">
        <w:rPr>
          <w:rFonts w:ascii="Times New Roman" w:hAnsi="Times New Roman" w:eastAsia="Times New Roman" w:cs="Times New Roman"/>
          <w:sz w:val="22"/>
          <w:szCs w:val="22"/>
        </w:rPr>
        <w:t>“</w:t>
      </w:r>
      <w:r w:rsidRPr="39BC363E" w:rsidR="00186DAF">
        <w:rPr>
          <w:rFonts w:ascii="Times New Roman" w:hAnsi="Times New Roman" w:eastAsia="Times New Roman" w:cs="Times New Roman"/>
          <w:sz w:val="22"/>
          <w:szCs w:val="22"/>
        </w:rPr>
        <w:t xml:space="preserve"> personenbezogener Daten und als Drittbegünstigter dieser JCA und ist berechtigt, sich auf alle Rechte und Schutzmaßnahmen zu berufen, die im Rahmen dieser JCA gewährt werden, unabhängig davon, ob dieses verbundene Unternehmen als Partei der Vereinbarung oder dieser </w:t>
      </w:r>
      <w:bookmarkEnd w:id="26"/>
      <w:r w:rsidRPr="39BC363E" w:rsidR="00186DAF">
        <w:rPr>
          <w:rFonts w:ascii="Times New Roman" w:hAnsi="Times New Roman" w:eastAsia="Times New Roman" w:cs="Times New Roman"/>
          <w:sz w:val="22"/>
          <w:szCs w:val="22"/>
        </w:rPr>
        <w:t xml:space="preserve">JCA genannt ist. </w:t>
      </w:r>
    </w:p>
    <w:p w:rsidR="0557E269" w:rsidP="39BC363E" w:rsidRDefault="0557E269" w14:paraId="4B66EC79" w14:textId="1B054DB8">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6D86AB92" w:rsidR="0557E269">
        <w:rPr>
          <w:rFonts w:ascii="Times New Roman" w:hAnsi="Times New Roman" w:eastAsia="Times New Roman" w:cs="Times New Roman"/>
          <w:sz w:val="22"/>
          <w:szCs w:val="22"/>
        </w:rPr>
        <w:t xml:space="preserve">Bei der Erfüllung ihrer Verpflichtungen aus dem Dienstleistungsvertrag und dieser </w:t>
      </w:r>
      <w:r w:rsidRPr="6D86AB92" w:rsidR="701B747D">
        <w:rPr>
          <w:rFonts w:ascii="Times New Roman" w:hAnsi="Times New Roman" w:eastAsia="Times New Roman" w:cs="Times New Roman"/>
          <w:sz w:val="22"/>
          <w:szCs w:val="22"/>
        </w:rPr>
        <w:t>JC</w:t>
      </w:r>
      <w:r w:rsidRPr="6D86AB92" w:rsidR="0557E269">
        <w:rPr>
          <w:rFonts w:ascii="Times New Roman" w:hAnsi="Times New Roman" w:eastAsia="Times New Roman" w:cs="Times New Roman"/>
          <w:sz w:val="22"/>
          <w:szCs w:val="22"/>
        </w:rPr>
        <w:t>A</w:t>
      </w:r>
      <w:r w:rsidRPr="6D86AB92" w:rsidR="0557E269">
        <w:rPr>
          <w:rFonts w:ascii="Times New Roman" w:hAnsi="Times New Roman" w:eastAsia="Times New Roman" w:cs="Times New Roman"/>
          <w:sz w:val="22"/>
          <w:szCs w:val="22"/>
        </w:rPr>
        <w:t xml:space="preserve"> erkennen die Parteien an, dass die Unternehmensrichtlinie von MSD und seinen verbundenen Unternehmen verlangt, dass die Geschäfte von MSD im Einklang mit dem Wortlaut und dem Geist der geltenden Datenschutzgesetze, einschließlich der EU-Datenschutz-Grundverordnung, geführt werden. Für den Fall, dass beide Parteien nicht denselben Datenschutzgesetzen unterliegen, wird erwartet, dass beide Parteien alle in diesen Gesetzen enthaltenen relevanten Datenschutzstandards einhalten.</w:t>
      </w:r>
    </w:p>
    <w:p w:rsidRPr="00AC5F8D" w:rsidR="00186DAF" w:rsidP="39BC363E" w:rsidRDefault="00186DAF" w14:paraId="3BF07F4B" w14:textId="40D14142">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Diese JCA wird hiermit in die Vereinbarung aufgenommen und bildet einen Teil davon. </w:t>
      </w:r>
    </w:p>
    <w:p w:rsidRPr="00AC5F8D" w:rsidR="00186DAF" w:rsidP="39BC363E" w:rsidRDefault="00186DAF" w14:paraId="145039B7" w14:textId="31D18097">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bookmarkStart w:name="_Hlk6479881" w:id="27"/>
      <w:r w:rsidRPr="39BC363E" w:rsidR="00186DAF">
        <w:rPr>
          <w:rFonts w:ascii="Times New Roman" w:hAnsi="Times New Roman" w:eastAsia="Times New Roman" w:cs="Times New Roman"/>
          <w:sz w:val="22"/>
          <w:szCs w:val="22"/>
        </w:rPr>
        <w:t xml:space="preserve">Im Falle und im Ausmaß von Widersprüchen zwischen den Bedingungen der Vereinbarung und dieser JCA haben die Bedingungen dieser </w:t>
      </w:r>
      <w:r w:rsidRPr="39BC363E" w:rsidR="00186DAF">
        <w:rPr>
          <w:rFonts w:ascii="Times New Roman" w:hAnsi="Times New Roman" w:eastAsia="Times New Roman" w:cs="Times New Roman"/>
          <w:sz w:val="22"/>
          <w:szCs w:val="22"/>
        </w:rPr>
        <w:t>JCA Vorrang</w:t>
      </w:r>
      <w:r w:rsidRPr="39BC363E" w:rsidR="00186DAF">
        <w:rPr>
          <w:rFonts w:ascii="Times New Roman" w:hAnsi="Times New Roman" w:eastAsia="Times New Roman" w:cs="Times New Roman"/>
          <w:sz w:val="22"/>
          <w:szCs w:val="22"/>
        </w:rPr>
        <w:t xml:space="preserve">, </w:t>
      </w:r>
      <w:bookmarkStart w:name="_Hlk505280" w:id="28"/>
      <w:r w:rsidRPr="39BC363E" w:rsidR="00186DAF">
        <w:rPr>
          <w:rFonts w:ascii="Times New Roman" w:hAnsi="Times New Roman" w:eastAsia="Times New Roman" w:cs="Times New Roman"/>
          <w:sz w:val="22"/>
          <w:szCs w:val="22"/>
        </w:rPr>
        <w:t>es sei denn, die Bedingungen der Vereinbarung schützen die im Zusammenhang mit der Vereinbarung verarbeiteten personenbezogenen Daten besser; in diesem Fall haben die den besseren Schutz bietenden Bedingungen dieser Vereinbarung Vorrang</w:t>
      </w:r>
      <w:bookmarkEnd w:id="28"/>
      <w:r w:rsidRPr="39BC363E" w:rsidR="00186DAF">
        <w:rPr>
          <w:rFonts w:ascii="Times New Roman" w:hAnsi="Times New Roman" w:eastAsia="Times New Roman" w:cs="Times New Roman"/>
          <w:sz w:val="22"/>
          <w:szCs w:val="22"/>
        </w:rPr>
        <w:t xml:space="preserve">. </w:t>
      </w:r>
      <w:bookmarkEnd w:id="27"/>
    </w:p>
    <w:p w:rsidRPr="00AC5F8D" w:rsidR="00186DAF" w:rsidP="39BC363E" w:rsidRDefault="00186DAF" w14:paraId="64C2D04F" w14:textId="7B2FE986">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Im Falle eines Widerspruchs zwischen den Bestimmungen dieser JCA und den Standardvertragsklauseln sind die Bestimmungen der Standardvertragsklauseln maßgebend. </w:t>
      </w:r>
    </w:p>
    <w:p w:rsidRPr="00AC5F8D" w:rsidR="00186DAF" w:rsidP="39BC363E" w:rsidRDefault="00186DAF" w14:paraId="20BE54B2" w14:textId="3CA82D51">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Sofern hierin nicht ausdrücklich geändert, bleiben die Bedingungen der Vereinbarung in vollem Umfang in Kraft und wirksam. </w:t>
      </w:r>
    </w:p>
    <w:p w:rsidRPr="00AC5F8D" w:rsidR="00186DAF" w:rsidP="39BC363E" w:rsidRDefault="00186DAF" w14:paraId="40C3FD04" w14:textId="781EB515">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Wenn diese JCA in englischer und in einer anderen Sprache verfasst wurde, ist im Falle von Unterschieden zwischen dem englischen und dem anderssprachigen Text die englische Version maßgebend. </w:t>
      </w:r>
    </w:p>
    <w:p w:rsidRPr="008B5D29" w:rsidR="00186DAF" w:rsidP="39BC363E" w:rsidRDefault="00186DAF" w14:paraId="39CE5FD1" w14:textId="5D36C043">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bookmarkStart w:name="_Hlk1139629" w:id="29"/>
      <w:r w:rsidRPr="39BC363E" w:rsidR="00186DAF">
        <w:rPr>
          <w:rFonts w:ascii="Times New Roman" w:hAnsi="Times New Roman" w:eastAsia="Times New Roman" w:cs="Times New Roman"/>
          <w:spacing w:val="-2"/>
          <w:sz w:val="22"/>
          <w:szCs w:val="22"/>
        </w:rPr>
        <w:t xml:space="preserve">Überschriften in dieser JCA dienen ausschließlich der Übersichtlichkeit und stellen keinen Bestandteil dieser JCA dar und haben keinen Einfluss auf die Bedeutung oder Auslegung dieser JCA. </w:t>
      </w:r>
    </w:p>
    <w:p w:rsidRPr="00AC5F8D" w:rsidR="00186DAF" w:rsidP="39BC363E" w:rsidRDefault="00186DAF" w14:paraId="3D3E94D7" w14:textId="4C4870CA">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Anhänge und Anlagen zu dieser JCA gelten im gleichen Maße als Bestandteil dieser JCA, als wären sie wörtlich in dieser JCA aufgeführt. </w:t>
      </w:r>
    </w:p>
    <w:p w:rsidRPr="00AC5F8D" w:rsidR="00186DAF" w:rsidP="39BC363E" w:rsidRDefault="00186DAF" w14:paraId="24E0D3A0" w14:textId="5261F2ED">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Die Bestimmungen dieser JCA sind trennbar. Sollte ein Satz, eine Klausel oder eine Bestimmung vollständig oder teilweise ungültig oder nicht durchsetzbar sein, betrifft diese Ungültigkeit oder Nichtdurchsetzbarkeit ausschließlich diesen Satz, diese Klausel oder diese Bestimmung und bleiben die übrigen Bestimmungen dieser JCA uneingeschränkt rechtswirksam</w:t>
      </w:r>
      <w:bookmarkEnd w:id="29"/>
      <w:r w:rsidRPr="39BC363E" w:rsidR="00186DAF">
        <w:rPr>
          <w:rFonts w:ascii="Times New Roman" w:hAnsi="Times New Roman" w:eastAsia="Times New Roman" w:cs="Times New Roman"/>
          <w:sz w:val="22"/>
          <w:szCs w:val="22"/>
        </w:rPr>
        <w:t>.</w:t>
      </w:r>
    </w:p>
    <w:p w:rsidRPr="00AC5F8D" w:rsidR="00186DAF" w:rsidP="39BC363E" w:rsidRDefault="00186DAF" w14:paraId="60235A98" w14:textId="7B112F09">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Diese JCA kann in einer beliebigen Anzahl Ausfertigungen geschlossen werden, die alle zusammen eine einzige und dieselbe Vereinbarung darstellen. Jede Partei kann diese JCA durch Unterzeichnung einer Ausfertigung eingehen.</w:t>
      </w:r>
    </w:p>
    <w:p w:rsidRPr="00AC5F8D" w:rsidR="00186DAF" w:rsidP="39BC363E" w:rsidRDefault="00186DAF" w14:paraId="47575F45" w14:textId="539234F9">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Diese JCA stellt die gesamte Vereinbarung zwischen den Parteien in Bezug auf den Gegenstand dieser JCA dar und ersetzt (soweit gesetzlich zulässig) alle früheren Zusicherungen oder mündlichen oder schriftlichen Vereinbarungen zwischen den Parteien in Bezug auf diesen Gegenstand, vorausgesetzt, nichts in dieser JCA und keine der Parteien versucht, eine Haftung für betrügerische Angaben auszuschließen.</w:t>
      </w:r>
    </w:p>
    <w:p w:rsidRPr="00AC5F8D" w:rsidR="00186DAF" w:rsidP="39BC363E" w:rsidRDefault="00186DAF" w14:paraId="7DEEC30A" w14:textId="7AEDCD52">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9BC363E" w:rsidR="00186DAF">
        <w:rPr>
          <w:rFonts w:ascii="Times New Roman" w:hAnsi="Times New Roman" w:eastAsia="Times New Roman" w:cs="Times New Roman"/>
          <w:sz w:val="22"/>
          <w:szCs w:val="22"/>
        </w:rPr>
        <w:t xml:space="preserve">Die Bestimmungen der Vereinbarung bezüglich des geltenden Rechts und des Gerichtsstands finden auf diese </w:t>
      </w:r>
      <w:r w:rsidRPr="39BC363E" w:rsidR="00186DAF">
        <w:rPr>
          <w:rFonts w:ascii="Times New Roman" w:hAnsi="Times New Roman" w:eastAsia="Times New Roman" w:cs="Times New Roman"/>
          <w:sz w:val="22"/>
          <w:szCs w:val="22"/>
        </w:rPr>
        <w:t>JCA Anwendung</w:t>
      </w:r>
      <w:r w:rsidRPr="39BC363E" w:rsidR="00186DAF">
        <w:rPr>
          <w:rFonts w:ascii="Times New Roman" w:hAnsi="Times New Roman" w:eastAsia="Times New Roman" w:cs="Times New Roman"/>
          <w:sz w:val="22"/>
          <w:szCs w:val="22"/>
        </w:rPr>
        <w:t>.</w:t>
      </w:r>
    </w:p>
    <w:p w:rsidR="00425BDA" w:rsidP="39BC363E" w:rsidRDefault="00425BDA" w14:paraId="07D7FBB4" w14:textId="3A47A817">
      <w:pPr>
        <w:pStyle w:val="ListParagraph"/>
        <w:numPr>
          <w:ilvl w:val="0"/>
          <w:numId w:val="29"/>
        </w:numPr>
        <w:rPr>
          <w:rFonts w:ascii="Times New Roman" w:hAnsi="Times New Roman" w:eastAsia="Times New Roman" w:cs="Times New Roman"/>
          <w:sz w:val="22"/>
          <w:szCs w:val="22"/>
        </w:rPr>
      </w:pPr>
      <w:r w:rsidRPr="39BC363E" w:rsidR="00425BDA">
        <w:rPr>
          <w:rFonts w:ascii="Times New Roman" w:hAnsi="Times New Roman" w:eastAsia="Times New Roman" w:cs="Times New Roman"/>
          <w:i w:val="1"/>
          <w:iCs w:val="1"/>
          <w:sz w:val="22"/>
          <w:szCs w:val="22"/>
        </w:rPr>
        <w:t>Beschränkungen für Updates</w:t>
      </w:r>
      <w:r w:rsidRPr="39BC363E" w:rsidR="00425BDA">
        <w:rPr>
          <w:rFonts w:ascii="Times New Roman" w:hAnsi="Times New Roman" w:eastAsia="Times New Roman" w:cs="Times New Roman"/>
          <w:sz w:val="22"/>
          <w:szCs w:val="22"/>
        </w:rPr>
        <w:t xml:space="preserve">. </w:t>
      </w:r>
    </w:p>
    <w:p w:rsidR="00342D26" w:rsidP="39BC363E" w:rsidRDefault="00342D26" w14:paraId="5BC25283" w14:textId="77777777">
      <w:pPr>
        <w:pStyle w:val="ListParagraph"/>
        <w:spacing w:before="192" w:beforeLines="80" w:after="192" w:afterLines="80"/>
        <w:ind w:left="360"/>
        <w:rPr>
          <w:rFonts w:ascii="Times New Roman" w:hAnsi="Times New Roman" w:eastAsia="Times New Roman" w:cs="Times New Roman"/>
          <w:sz w:val="22"/>
          <w:szCs w:val="22"/>
        </w:rPr>
      </w:pPr>
    </w:p>
    <w:p w:rsidRPr="00921FC5" w:rsidR="005B03A0" w:rsidP="39BC363E" w:rsidRDefault="005B03A0" w14:paraId="593F6A64" w14:textId="76BA6A6D">
      <w:pPr>
        <w:pStyle w:val="ListParagraph"/>
        <w:numPr>
          <w:ilvl w:val="1"/>
          <w:numId w:val="29"/>
        </w:numPr>
        <w:spacing w:before="192" w:beforeLines="80" w:after="192" w:afterLines="80"/>
        <w:rPr>
          <w:rFonts w:ascii="Times New Roman" w:hAnsi="Times New Roman" w:eastAsia="Times New Roman" w:cs="Times New Roman"/>
          <w:sz w:val="22"/>
          <w:szCs w:val="22"/>
        </w:rPr>
      </w:pPr>
      <w:r w:rsidRPr="39BC363E" w:rsidR="005B03A0">
        <w:rPr>
          <w:rFonts w:ascii="Times New Roman" w:hAnsi="Times New Roman" w:eastAsia="Times New Roman" w:cs="Times New Roman"/>
          <w:sz w:val="22"/>
          <w:szCs w:val="22"/>
        </w:rPr>
        <w:t>Wenn die Parteien die Vereinbarung erneuern, ändern, eine neue Leistungsbeschreibung unter der Vereinbarung ausstellen oder die Vereinbarung oder eine Leistungsbeschreibung unter der Vereinbarung in irgendeiner Weise ändern (ein "auslösendes Ereignis"), wird das neueste Dokument unter "</w:t>
      </w:r>
      <w:r w:rsidRPr="39BC363E" w:rsidR="000B605F">
        <w:rPr>
          <w:rFonts w:ascii="Times New Roman" w:hAnsi="Times New Roman" w:eastAsia="Times New Roman" w:cs="Times New Roman"/>
          <w:sz w:val="22"/>
          <w:szCs w:val="22"/>
        </w:rPr>
        <w:t>Joint Controller Addendum</w:t>
      </w:r>
      <w:r w:rsidRPr="39BC363E" w:rsidR="005B03A0">
        <w:rPr>
          <w:rFonts w:ascii="Times New Roman" w:hAnsi="Times New Roman" w:eastAsia="Times New Roman" w:cs="Times New Roman"/>
          <w:sz w:val="22"/>
          <w:szCs w:val="22"/>
        </w:rPr>
        <w:t xml:space="preserve">" an der Stelle </w:t>
      </w:r>
      <w:r>
        <w:fldChar w:fldCharType="begin"/>
      </w:r>
      <w:r>
        <w:instrText xml:space="preserve">HYPERLINK "https://www.msdprivacy.com/privacyterms/"</w:instrText>
      </w:r>
      <w:r>
        <w:fldChar w:fldCharType="separate"/>
      </w:r>
      <w:r w:rsidRPr="39BC363E" w:rsidR="005B03A0">
        <w:rPr>
          <w:rStyle w:val="Hyperlink"/>
          <w:rFonts w:ascii="Times New Roman" w:hAnsi="Times New Roman" w:cs="Times New Roman"/>
          <w:lang w:val="es-CO"/>
        </w:rPr>
        <w:t>https://www.msdprivacy.com/privacyterms/</w:t>
      </w:r>
      <w:r w:rsidRPr="39BC363E">
        <w:rPr>
          <w:rStyle w:val="Hyperlink"/>
          <w:rFonts w:ascii="Times New Roman" w:hAnsi="Times New Roman" w:cs="Times New Roman"/>
          <w:lang w:val="es-CO"/>
        </w:rPr>
        <w:fldChar w:fldCharType="end"/>
      </w:r>
      <w:r w:rsidRPr="39BC363E" w:rsidR="005B03A0">
        <w:rPr>
          <w:rFonts w:ascii="Times New Roman" w:hAnsi="Times New Roman" w:eastAsia="Times New Roman" w:cs="Times New Roman"/>
          <w:sz w:val="22"/>
          <w:szCs w:val="22"/>
        </w:rPr>
        <w:t xml:space="preserve"> die Bedingungen dieses </w:t>
      </w:r>
      <w:r w:rsidRPr="39BC363E" w:rsidR="00913018">
        <w:rPr>
          <w:rFonts w:ascii="Times New Roman" w:hAnsi="Times New Roman" w:eastAsia="Times New Roman" w:cs="Times New Roman"/>
          <w:sz w:val="22"/>
          <w:szCs w:val="22"/>
        </w:rPr>
        <w:t>JC</w:t>
      </w:r>
      <w:r w:rsidRPr="39BC363E" w:rsidR="005B03A0">
        <w:rPr>
          <w:rFonts w:ascii="Times New Roman" w:hAnsi="Times New Roman" w:eastAsia="Times New Roman" w:cs="Times New Roman"/>
          <w:sz w:val="22"/>
          <w:szCs w:val="22"/>
        </w:rPr>
        <w:t xml:space="preserve">A ersetzen und außer Kraft setzen, bis das nächste auslösende Ereignis eintritt, es sei denn, es wird innerhalb von 30 Tagen nach dem auslösenden Ereignis Einspruch erhoben. Ungeachtet des Vorstehenden kann es Situationen geben, die eine sofortige Änderung der Bedingungen dieses </w:t>
      </w:r>
      <w:r w:rsidRPr="39BC363E" w:rsidR="00913018">
        <w:rPr>
          <w:rFonts w:ascii="Times New Roman" w:hAnsi="Times New Roman" w:eastAsia="Times New Roman" w:cs="Times New Roman"/>
          <w:sz w:val="22"/>
          <w:szCs w:val="22"/>
        </w:rPr>
        <w:t>JC</w:t>
      </w:r>
      <w:r w:rsidRPr="39BC363E" w:rsidR="005B03A0">
        <w:rPr>
          <w:rFonts w:ascii="Times New Roman" w:hAnsi="Times New Roman" w:eastAsia="Times New Roman" w:cs="Times New Roman"/>
          <w:sz w:val="22"/>
          <w:szCs w:val="22"/>
        </w:rPr>
        <w:t xml:space="preserve">A erfordern, die nur aus den in </w:t>
      </w:r>
      <w:r w:rsidRPr="39BC363E" w:rsidR="005B03A0">
        <w:rPr>
          <w:rFonts w:ascii="Times New Roman" w:hAnsi="Times New Roman" w:eastAsia="Times New Roman" w:cs="Times New Roman"/>
          <w:sz w:val="22"/>
          <w:szCs w:val="22"/>
        </w:rPr>
        <w:t>6</w:t>
      </w:r>
      <w:r w:rsidRPr="39BC363E" w:rsidR="005B03A0">
        <w:rPr>
          <w:rFonts w:ascii="Times New Roman" w:hAnsi="Times New Roman" w:eastAsia="Times New Roman" w:cs="Times New Roman"/>
          <w:sz w:val="22"/>
          <w:szCs w:val="22"/>
        </w:rPr>
        <w:t>(b) dargelegten Gründen erfolgen darf und nur in gutem Glauben und nach Sicherstellung, dass die neuen oder geänderten Bedingungen nur auf diejenigen beschränkt sind, die erforderlich sind, um mit neuen anwendbaren Datenschutzgesetzen, Rechtsprechung oder von relevanten Datenschutzbehörden herausgegebenen Richtlinien in Einklang zu kommen.</w:t>
      </w:r>
    </w:p>
    <w:p w:rsidR="005B03A0" w:rsidP="39BC363E" w:rsidRDefault="005B03A0" w14:paraId="70E174C9" w14:textId="77777777">
      <w:pPr>
        <w:pStyle w:val="ListParagraph"/>
        <w:spacing w:before="192" w:beforeLines="80" w:after="192" w:afterLines="80"/>
        <w:ind w:left="360"/>
        <w:rPr>
          <w:rFonts w:ascii="Times New Roman" w:hAnsi="Times New Roman" w:eastAsia="Times New Roman" w:cs="Times New Roman"/>
          <w:sz w:val="22"/>
          <w:szCs w:val="22"/>
        </w:rPr>
      </w:pPr>
    </w:p>
    <w:p w:rsidRPr="00921FC5" w:rsidR="005B03A0" w:rsidP="39BC363E" w:rsidRDefault="005B03A0" w14:paraId="144A49E5" w14:textId="77777777">
      <w:pPr>
        <w:pStyle w:val="ListParagraph"/>
        <w:numPr>
          <w:ilvl w:val="1"/>
          <w:numId w:val="29"/>
        </w:numPr>
        <w:spacing w:before="192" w:beforeLines="80" w:after="192" w:afterLines="80"/>
        <w:rPr>
          <w:rFonts w:ascii="Times New Roman" w:hAnsi="Times New Roman" w:eastAsia="Times New Roman" w:cs="Times New Roman"/>
          <w:sz w:val="22"/>
          <w:szCs w:val="22"/>
        </w:rPr>
      </w:pPr>
      <w:r w:rsidRPr="39BC363E" w:rsidR="005B03A0">
        <w:rPr>
          <w:rFonts w:ascii="Times New Roman" w:hAnsi="Times New Roman" w:eastAsia="Times New Roman" w:cs="Times New Roman"/>
          <w:sz w:val="22"/>
          <w:szCs w:val="22"/>
        </w:rPr>
        <w:t xml:space="preserve">Für den Fall, dass eines der folgenden Szenarien eintritt, stimmen die Parteien sofort den neuesten Bedingungen zu, die unter der oben genannten Adresse veröffentlicht sind, es sei denn, es wird innerhalb von 30 Tagen nach Bekanntgabe der neuen Bedingungen durch das Unternehmen an alle Einheiten, die angefordert haben, benachrichtigt zu werden, bei </w:t>
      </w:r>
      <w:r>
        <w:fldChar w:fldCharType="begin"/>
      </w:r>
      <w:r>
        <w:instrText xml:space="preserve">HYPERLINK "mailto:privacy_updates@msd.com"</w:instrText>
      </w:r>
      <w:r>
        <w:fldChar w:fldCharType="separate"/>
      </w:r>
      <w:r w:rsidRPr="39BC363E" w:rsidR="005B03A0">
        <w:rPr>
          <w:rStyle w:val="Hyperlink"/>
          <w:rFonts w:ascii="Times New Roman" w:hAnsi="Times New Roman" w:cs="Times New Roman"/>
          <w:lang w:val="es-CO"/>
        </w:rPr>
        <w:t>privacy_updates@msd.com</w:t>
      </w:r>
      <w:r w:rsidRPr="39BC363E">
        <w:rPr>
          <w:rStyle w:val="Hyperlink"/>
          <w:rFonts w:ascii="Times New Roman" w:hAnsi="Times New Roman" w:cs="Times New Roman"/>
          <w:lang w:val="es-CO"/>
        </w:rPr>
        <w:fldChar w:fldCharType="end"/>
      </w:r>
      <w:r w:rsidRPr="39BC363E" w:rsidR="005B03A0">
        <w:rPr>
          <w:rFonts w:ascii="Times New Roman" w:hAnsi="Times New Roman" w:eastAsia="Times New Roman" w:cs="Times New Roman"/>
          <w:sz w:val="22"/>
          <w:szCs w:val="22"/>
          <w:lang w:val="es-CO"/>
        </w:rPr>
        <w:t xml:space="preserve"> </w:t>
      </w:r>
      <w:r w:rsidRPr="39BC363E" w:rsidR="005B03A0">
        <w:rPr>
          <w:rFonts w:ascii="Times New Roman" w:hAnsi="Times New Roman" w:eastAsia="Times New Roman" w:cs="Times New Roman"/>
          <w:sz w:val="22"/>
          <w:szCs w:val="22"/>
        </w:rPr>
        <w:t>Einspruch erhoben:</w:t>
      </w:r>
      <w:r>
        <w:br/>
      </w:r>
    </w:p>
    <w:p w:rsidRPr="00921FC5" w:rsidR="005B03A0" w:rsidP="39BC363E" w:rsidRDefault="005B03A0" w14:paraId="010187DF" w14:textId="5CF9F187">
      <w:pPr>
        <w:pStyle w:val="ListParagraph"/>
        <w:numPr>
          <w:ilvl w:val="2"/>
          <w:numId w:val="29"/>
        </w:numPr>
        <w:spacing w:before="192" w:beforeLines="80" w:after="192" w:afterLines="80"/>
        <w:rPr>
          <w:rFonts w:ascii="Times New Roman" w:hAnsi="Times New Roman" w:eastAsia="Times New Roman" w:cs="Times New Roman"/>
          <w:sz w:val="22"/>
          <w:szCs w:val="22"/>
        </w:rPr>
      </w:pPr>
      <w:r w:rsidRPr="39BC363E" w:rsidR="005B03A0">
        <w:rPr>
          <w:rFonts w:ascii="Times New Roman" w:hAnsi="Times New Roman" w:eastAsia="Times New Roman" w:cs="Times New Roman"/>
          <w:sz w:val="22"/>
          <w:szCs w:val="22"/>
        </w:rPr>
        <w:t xml:space="preserve">das anwendbare Datenschutzgesetz wurde auf eine Weise aktualisiert, bei der die bestehenden vertraglichen Bedingungen dieses </w:t>
      </w:r>
      <w:r w:rsidRPr="39BC363E" w:rsidR="00913018">
        <w:rPr>
          <w:rFonts w:ascii="Times New Roman" w:hAnsi="Times New Roman" w:eastAsia="Times New Roman" w:cs="Times New Roman"/>
          <w:sz w:val="22"/>
          <w:szCs w:val="22"/>
        </w:rPr>
        <w:t>JC</w:t>
      </w:r>
      <w:r w:rsidRPr="39BC363E" w:rsidR="005B03A0">
        <w:rPr>
          <w:rFonts w:ascii="Times New Roman" w:hAnsi="Times New Roman" w:eastAsia="Times New Roman" w:cs="Times New Roman"/>
          <w:sz w:val="22"/>
          <w:szCs w:val="22"/>
        </w:rPr>
        <w:t>A nicht ausreichen, um den Anforderungen des aktualisierten Gesetzes gerecht zu werden,</w:t>
      </w:r>
      <w:r>
        <w:br/>
      </w:r>
    </w:p>
    <w:p w:rsidRPr="00921FC5" w:rsidR="005B03A0" w:rsidP="39BC363E" w:rsidRDefault="005B03A0" w14:paraId="32C639E6" w14:textId="77777777">
      <w:pPr>
        <w:pStyle w:val="ListParagraph"/>
        <w:numPr>
          <w:ilvl w:val="2"/>
          <w:numId w:val="29"/>
        </w:numPr>
        <w:spacing w:before="192" w:beforeLines="80" w:after="192" w:afterLines="80"/>
        <w:rPr>
          <w:rFonts w:ascii="Times New Roman" w:hAnsi="Times New Roman" w:eastAsia="Times New Roman" w:cs="Times New Roman"/>
          <w:sz w:val="22"/>
          <w:szCs w:val="22"/>
        </w:rPr>
      </w:pPr>
      <w:r w:rsidRPr="39BC363E" w:rsidR="005B03A0">
        <w:rPr>
          <w:rFonts w:ascii="Times New Roman" w:hAnsi="Times New Roman" w:eastAsia="Times New Roman" w:cs="Times New Roman"/>
          <w:sz w:val="22"/>
          <w:szCs w:val="22"/>
        </w:rPr>
        <w:t>es gibt eine Änderung im anwendbaren Datenschutzgesetz, und die Parteien haben ein vernünftiges und legitimes Interesse daran, diese Bedingungen aufgrund der Gesetzesänderung zu ändern, zum Beispiel und ohne Einschränkung, durch Entfernen von Anforderungen, die nicht mehr notwendig sind, oder</w:t>
      </w:r>
      <w:r>
        <w:br/>
      </w:r>
    </w:p>
    <w:p w:rsidRPr="0040051E" w:rsidR="005B03A0" w:rsidP="39BC363E" w:rsidRDefault="005B03A0" w14:paraId="79A7F5C2" w14:textId="77777777">
      <w:pPr>
        <w:pStyle w:val="ListParagraph"/>
        <w:numPr>
          <w:ilvl w:val="2"/>
          <w:numId w:val="29"/>
        </w:numPr>
        <w:spacing w:before="192" w:beforeLines="80" w:after="192" w:afterLines="80"/>
        <w:rPr>
          <w:rFonts w:ascii="Times New Roman" w:hAnsi="Times New Roman" w:eastAsia="Times New Roman" w:cs="Times New Roman"/>
          <w:sz w:val="22"/>
          <w:szCs w:val="22"/>
        </w:rPr>
      </w:pPr>
      <w:r w:rsidRPr="39BC363E" w:rsidR="005B03A0">
        <w:rPr>
          <w:rFonts w:ascii="Times New Roman" w:hAnsi="Times New Roman" w:eastAsia="Times New Roman" w:cs="Times New Roman"/>
          <w:sz w:val="22"/>
          <w:szCs w:val="22"/>
        </w:rPr>
        <w:t>es gibt eine neue Rechtsprechung oder Richtlinien von relevanten Datenschutzbehörden, die eine vergleichbare Wirkung wie eine Gesetzesänderung gemäß (i) oder (ii) oben haben.</w:t>
      </w:r>
    </w:p>
    <w:p w:rsidRPr="00AC5F8D" w:rsidR="004F1156" w:rsidP="39BC363E" w:rsidRDefault="004F1156" w14:paraId="0FEABC7A" w14:textId="7192F7F1">
      <w:pPr>
        <w:pStyle w:val="BodyText"/>
        <w:numPr>
          <w:ilvl w:val="0"/>
          <w:numId w:val="29"/>
        </w:numPr>
        <w:spacing w:before="192" w:beforeLines="80" w:after="192" w:afterLines="80" w:line="240" w:lineRule="auto"/>
        <w:rPr>
          <w:rFonts w:ascii="Times New Roman" w:hAnsi="Times New Roman" w:eastAsia="Times New Roman" w:cs="Times New Roman"/>
          <w:sz w:val="22"/>
          <w:szCs w:val="22"/>
        </w:rPr>
      </w:pPr>
      <w:r w:rsidRPr="39BC363E" w:rsidR="004F1156">
        <w:rPr>
          <w:rFonts w:ascii="Times New Roman" w:hAnsi="Times New Roman" w:eastAsia="Times New Roman" w:cs="Times New Roman"/>
          <w:i w:val="1"/>
          <w:iCs w:val="1"/>
          <w:sz w:val="22"/>
          <w:szCs w:val="22"/>
        </w:rPr>
        <w:t>Anwendbarkeit von Anhängen</w:t>
      </w:r>
      <w:r w:rsidRPr="39BC363E" w:rsidR="004F1156">
        <w:rPr>
          <w:rFonts w:ascii="Times New Roman" w:hAnsi="Times New Roman" w:eastAsia="Times New Roman" w:cs="Times New Roman"/>
          <w:sz w:val="22"/>
          <w:szCs w:val="22"/>
        </w:rPr>
        <w:t>. Die hier als Anlage 2 beigefügten Standardvertragsklauseln und die</w:t>
      </w:r>
      <w:r w:rsidRPr="39BC363E" w:rsidR="008B5D29">
        <w:rPr>
          <w:rFonts w:ascii="Times New Roman" w:hAnsi="Times New Roman" w:eastAsia="Times New Roman" w:cs="Times New Roman"/>
          <w:sz w:val="22"/>
          <w:szCs w:val="22"/>
        </w:rPr>
        <w:t> </w:t>
      </w:r>
      <w:r w:rsidRPr="39BC363E" w:rsidR="004F1156">
        <w:rPr>
          <w:rFonts w:ascii="Times New Roman" w:hAnsi="Times New Roman" w:eastAsia="Times New Roman" w:cs="Times New Roman"/>
          <w:sz w:val="22"/>
          <w:szCs w:val="22"/>
        </w:rPr>
        <w:t>als Anlage 3 beigefügten Ergänzungen gelten nur in dem Umfang, in dem sie nach geltendem Datenschutzrecht erforderlich sind. Die Parteien verpflichten sich, diese Klauseln und Zusätze nur insoweit einzuhalten, als sie mit den Anforderungen des anwendbaren Datenschutzrechts in der jeweiligen Rechtsordnung übereinstimmen und durch diese erforderlich sind.</w:t>
      </w:r>
    </w:p>
    <w:p w:rsidRPr="00AC5F8D" w:rsidR="00454D3B" w:rsidP="39BC363E" w:rsidRDefault="00454D3B" w14:paraId="5DB53CFD" w14:textId="725BC761">
      <w:pPr>
        <w:pStyle w:val="BodyText"/>
        <w:numPr>
          <w:ilvl w:val="0"/>
          <w:numId w:val="29"/>
        </w:numPr>
        <w:spacing w:before="192" w:beforeLines="80" w:after="192" w:afterLines="80" w:line="240" w:lineRule="auto"/>
        <w:rPr>
          <w:rFonts w:ascii="Times New Roman" w:hAnsi="Times New Roman" w:eastAsia="Times New Roman" w:cs="Times New Roman"/>
          <w:sz w:val="22"/>
          <w:szCs w:val="22"/>
        </w:rPr>
      </w:pPr>
      <w:r w:rsidRPr="39BC363E" w:rsidR="00454D3B">
        <w:rPr>
          <w:rFonts w:ascii="Times New Roman" w:hAnsi="Times New Roman" w:eastAsia="Times New Roman" w:cs="Times New Roman"/>
          <w:i w:val="1"/>
          <w:iCs w:val="1"/>
          <w:sz w:val="22"/>
          <w:szCs w:val="22"/>
        </w:rPr>
        <w:t>Mitteilungen</w:t>
      </w:r>
      <w:r w:rsidRPr="39BC363E" w:rsidR="00454D3B">
        <w:rPr>
          <w:rFonts w:ascii="Times New Roman" w:hAnsi="Times New Roman" w:eastAsia="Times New Roman" w:cs="Times New Roman"/>
          <w:sz w:val="22"/>
          <w:szCs w:val="22"/>
        </w:rPr>
        <w:t>. Mitteilungen im Rahmen dieser JCA (jeweils als „Mitteilung</w:t>
      </w:r>
      <w:r w:rsidRPr="39BC363E" w:rsidR="00CC797F">
        <w:rPr>
          <w:rFonts w:ascii="Times New Roman" w:hAnsi="Times New Roman" w:eastAsia="Times New Roman" w:cs="Times New Roman"/>
          <w:sz w:val="22"/>
          <w:szCs w:val="22"/>
        </w:rPr>
        <w:t>“</w:t>
      </w:r>
      <w:r w:rsidRPr="39BC363E" w:rsidR="00454D3B">
        <w:rPr>
          <w:rFonts w:ascii="Times New Roman" w:hAnsi="Times New Roman" w:eastAsia="Times New Roman" w:cs="Times New Roman"/>
          <w:sz w:val="22"/>
          <w:szCs w:val="22"/>
        </w:rPr>
        <w:t xml:space="preserve"> bezeichnet) müssen in</w:t>
      </w:r>
      <w:r w:rsidRPr="39BC363E" w:rsidR="008B5D29">
        <w:rPr>
          <w:rFonts w:ascii="Times New Roman" w:hAnsi="Times New Roman" w:eastAsia="Times New Roman" w:cs="Times New Roman"/>
          <w:sz w:val="22"/>
          <w:szCs w:val="22"/>
        </w:rPr>
        <w:t> </w:t>
      </w:r>
      <w:r w:rsidRPr="39BC363E" w:rsidR="00454D3B">
        <w:rPr>
          <w:rFonts w:ascii="Times New Roman" w:hAnsi="Times New Roman" w:eastAsia="Times New Roman" w:cs="Times New Roman"/>
          <w:sz w:val="22"/>
          <w:szCs w:val="22"/>
        </w:rPr>
        <w:t xml:space="preserve">schriftlicher Form erfolgen. </w:t>
      </w:r>
      <w:bookmarkStart w:name="_Hlk505322" w:id="30"/>
      <w:r w:rsidRPr="39BC363E" w:rsidR="00454D3B">
        <w:rPr>
          <w:rFonts w:ascii="Times New Roman" w:hAnsi="Times New Roman" w:eastAsia="Times New Roman" w:cs="Times New Roman"/>
          <w:sz w:val="22"/>
          <w:szCs w:val="22"/>
        </w:rPr>
        <w:t>Mitteilungen im Rahmen dieser JCA müssen in Übereinstimmung mit</w:t>
      </w:r>
      <w:r w:rsidRPr="39BC363E" w:rsidR="008B5D29">
        <w:rPr>
          <w:rFonts w:ascii="Times New Roman" w:hAnsi="Times New Roman" w:eastAsia="Times New Roman" w:cs="Times New Roman"/>
          <w:sz w:val="22"/>
          <w:szCs w:val="22"/>
        </w:rPr>
        <w:t> </w:t>
      </w:r>
      <w:r w:rsidRPr="39BC363E" w:rsidR="00454D3B">
        <w:rPr>
          <w:rFonts w:ascii="Times New Roman" w:hAnsi="Times New Roman" w:eastAsia="Times New Roman" w:cs="Times New Roman"/>
          <w:sz w:val="22"/>
          <w:szCs w:val="22"/>
        </w:rPr>
        <w:t xml:space="preserve">den Bestimmungen der jeweiligen Vereinbarung erfolgen, zusammen mit einer Kopie an das Unternehmen per E-Mail an </w:t>
      </w:r>
      <w:r>
        <w:fldChar w:fldCharType="begin"/>
      </w:r>
      <w:r>
        <w:instrText xml:space="preserve">HYPERLINK "mailto:msd_privacy_office@msd.com"</w:instrText>
      </w:r>
      <w:r>
        <w:fldChar w:fldCharType="separate"/>
      </w:r>
      <w:r w:rsidRPr="39BC363E" w:rsidR="00454D3B">
        <w:rPr>
          <w:rStyle w:val="Hyperlink"/>
          <w:rFonts w:ascii="Times New Roman" w:hAnsi="Times New Roman" w:cs="Times New Roman" w:asciiTheme="majorBidi" w:hAnsiTheme="majorBidi" w:cstheme="majorBidi"/>
        </w:rPr>
        <w:t>msd_privacy_office@msd.com</w:t>
      </w:r>
      <w:r w:rsidRPr="39BC363E">
        <w:rPr>
          <w:rStyle w:val="Hyperlink"/>
          <w:rFonts w:ascii="Times New Roman" w:hAnsi="Times New Roman" w:cs="Times New Roman" w:asciiTheme="majorBidi" w:hAnsiTheme="majorBidi" w:cstheme="majorBidi"/>
        </w:rPr>
        <w:fldChar w:fldCharType="end"/>
      </w:r>
      <w:r w:rsidRPr="39BC363E" w:rsidR="00454D3B">
        <w:rPr>
          <w:rFonts w:ascii="Times New Roman" w:hAnsi="Times New Roman" w:eastAsia="Times New Roman" w:cs="Times New Roman"/>
          <w:sz w:val="22"/>
          <w:szCs w:val="22"/>
        </w:rPr>
        <w:t xml:space="preserve">, </w:t>
      </w:r>
      <w:bookmarkStart w:name="_Hlk10302939" w:id="31"/>
      <w:r w:rsidRPr="39BC363E" w:rsidR="00454D3B">
        <w:rPr>
          <w:rFonts w:ascii="Times New Roman" w:hAnsi="Times New Roman" w:eastAsia="Times New Roman" w:cs="Times New Roman"/>
          <w:sz w:val="22"/>
          <w:szCs w:val="22"/>
        </w:rPr>
        <w:t>mit dem Betreff „Mitteilung des Anbieters zur JCA</w:t>
      </w:r>
      <w:r w:rsidRPr="39BC363E" w:rsidR="00CC797F">
        <w:rPr>
          <w:rFonts w:ascii="Times New Roman" w:hAnsi="Times New Roman" w:eastAsia="Times New Roman" w:cs="Times New Roman"/>
          <w:sz w:val="22"/>
          <w:szCs w:val="22"/>
        </w:rPr>
        <w:t>“</w:t>
      </w:r>
      <w:r w:rsidRPr="39BC363E" w:rsidR="00454D3B">
        <w:rPr>
          <w:rFonts w:ascii="Times New Roman" w:hAnsi="Times New Roman" w:eastAsia="Times New Roman" w:cs="Times New Roman"/>
          <w:sz w:val="22"/>
          <w:szCs w:val="22"/>
        </w:rPr>
        <w:t xml:space="preserve"> oder im Falle einer Verletzung des Schutzes personenbezogener Daten „Dringend: Mitteilung der Verletzung des Schutzes personenbezogener Daten</w:t>
      </w:r>
      <w:bookmarkEnd w:id="31"/>
      <w:r w:rsidRPr="39BC363E" w:rsidR="00CC797F">
        <w:rPr>
          <w:rFonts w:ascii="Times New Roman" w:hAnsi="Times New Roman" w:eastAsia="Times New Roman" w:cs="Times New Roman"/>
          <w:sz w:val="22"/>
          <w:szCs w:val="22"/>
        </w:rPr>
        <w:t>“</w:t>
      </w:r>
      <w:r w:rsidRPr="39BC363E" w:rsidR="00454D3B">
        <w:rPr>
          <w:rFonts w:ascii="Times New Roman" w:hAnsi="Times New Roman" w:eastAsia="Times New Roman" w:cs="Times New Roman"/>
          <w:sz w:val="22"/>
          <w:szCs w:val="22"/>
        </w:rPr>
        <w:t>.</w:t>
      </w:r>
      <w:bookmarkEnd w:id="30"/>
    </w:p>
    <w:p w:rsidRPr="00AC5F8D" w:rsidR="00CD7E79" w:rsidP="39BC363E" w:rsidRDefault="00CD7E79" w14:paraId="2F5841E4" w14:textId="77777777">
      <w:pPr>
        <w:rPr>
          <w:rFonts w:ascii="Times New Roman" w:hAnsi="Times New Roman" w:eastAsia="Times New Roman" w:cs="Times New Roman"/>
          <w:sz w:val="22"/>
          <w:szCs w:val="22"/>
        </w:rPr>
      </w:pPr>
      <w:r w:rsidRPr="39BC363E">
        <w:rPr>
          <w:rFonts w:ascii="Times New Roman" w:hAnsi="Times New Roman" w:eastAsia="Times New Roman" w:cs="Times New Roman"/>
          <w:sz w:val="22"/>
          <w:szCs w:val="22"/>
        </w:rPr>
        <w:br w:type="page"/>
      </w:r>
    </w:p>
    <w:p w:rsidRPr="008B5D29" w:rsidR="00186DAF" w:rsidP="39BC363E" w:rsidRDefault="00186DAF" w14:paraId="1FE626C7" w14:textId="0870E695">
      <w:pPr>
        <w:spacing w:before="192" w:beforeLines="80" w:after="192" w:afterLines="80" w:line="240" w:lineRule="auto"/>
        <w:jc w:val="center"/>
        <w:rPr>
          <w:rFonts w:ascii="Times New Roman" w:hAnsi="Times New Roman" w:eastAsia="Times New Roman" w:cs="Times New Roman"/>
          <w:sz w:val="22"/>
          <w:szCs w:val="22"/>
        </w:rPr>
      </w:pPr>
      <w:r w:rsidRPr="39BC363E" w:rsidR="00186DAF">
        <w:rPr>
          <w:rFonts w:ascii="Times New Roman" w:hAnsi="Times New Roman" w:eastAsia="Times New Roman" w:cs="Times New Roman"/>
          <w:b w:val="1"/>
          <w:bCs w:val="1"/>
          <w:sz w:val="22"/>
          <w:szCs w:val="22"/>
        </w:rPr>
        <w:t>ANHANG 1 – Sicherheitsmaßnahmen in der Informationstechnologie</w:t>
      </w:r>
    </w:p>
    <w:p w:rsidR="19504DFD" w:rsidP="39BC363E" w:rsidRDefault="19504DFD" w14:paraId="07D9FE7A" w14:textId="6029A545">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Definitionen – Bei Verwendung in dieser Anlage hat jeder der folgenden definierten Begriffe die unten für diesen Begriff gegebene Definition. Definierte Begriffe, die in dieser Anlage verwendet, aber hierin nicht definiert werden, haben die im Vertrag an anderer Stelle festgelegte Bedeutung.</w:t>
      </w:r>
    </w:p>
    <w:p w:rsidR="19504DFD" w:rsidP="39BC363E" w:rsidRDefault="19504DFD" w14:paraId="48876AA1" w14:textId="54E1D5DE">
      <w:pPr>
        <w:pStyle w:val="ListParagraph"/>
        <w:numPr>
          <w:ilvl w:val="1"/>
          <w:numId w:val="33"/>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„Unternehmensinformationen“ bezeichnet alle Informationen des Unternehmens oder eines seiner verbundenen Unternehmen oder deren jeweiligen Lieferanten, Kunden oder anderen Geschäftspartner, die vom Lieferanten oder einem seiner Drittanbieter-Dienstleister im Zusammenhang mit den Dienstleistungen bereitgestellt, erhalten, erstellt oder generiert oder anderweitig verarbeitet werden und alle anderen Informationen, die gemäß dem Vertrag als vertraulich zu behandeln sind.</w:t>
      </w:r>
    </w:p>
    <w:p w:rsidR="19504DFD" w:rsidP="39BC363E" w:rsidRDefault="19504DFD" w14:paraId="58DADC55" w14:textId="2061EFBD">
      <w:pPr>
        <w:pStyle w:val="ListParagraph"/>
        <w:numPr>
          <w:ilvl w:val="1"/>
          <w:numId w:val="33"/>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„Datenverstoß“ bezeichnet eine versehentliche oder unbefugte Zerstörung, Verlust, Veränderung, Nutzung, Übertragung oder Offenlegung von oder Zugang zu Unternehmensinformationen.</w:t>
      </w:r>
    </w:p>
    <w:p w:rsidR="19504DFD" w:rsidP="39BC363E" w:rsidRDefault="19504DFD" w14:paraId="13EA685B" w14:textId="7312F3FE">
      <w:pPr>
        <w:pStyle w:val="ListParagraph"/>
        <w:numPr>
          <w:ilvl w:val="1"/>
          <w:numId w:val="33"/>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„Endpunkt“ bezeichnet jeden Computer, einschließlich Laptop oder Desktop, mobiles Gerät, Laborequipment, Server oder anderes Gerät auf den Lieferantensystemen, einschließlich solcher, die auf einer externen Drittanbieterseite gehostet werden (z.B. Cloud-Anbieter).</w:t>
      </w:r>
    </w:p>
    <w:p w:rsidR="19504DFD" w:rsidP="39BC363E" w:rsidRDefault="19504DFD" w14:paraId="4912ED23" w14:textId="2BABF4E1">
      <w:pPr>
        <w:pStyle w:val="ListParagraph"/>
        <w:numPr>
          <w:ilvl w:val="1"/>
          <w:numId w:val="33"/>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DE"/>
        </w:rPr>
      </w:pPr>
      <w:r w:rsidRPr="39BC363E" w:rsidR="19504DFD">
        <w:rPr>
          <w:rFonts w:ascii="Times New Roman" w:hAnsi="Times New Roman" w:eastAsia="Times New Roman" w:cs="Times New Roman"/>
          <w:noProof w:val="0"/>
          <w:sz w:val="22"/>
          <w:szCs w:val="22"/>
          <w:lang w:val="de-DE"/>
        </w:rPr>
        <w:t xml:space="preserve">„Benachrichtigungsereignis“ bezeichnet jedes Ereignis, einschließlich eines Datenverstoßes, </w:t>
      </w:r>
      <w:r w:rsidRPr="39BC363E" w:rsidR="19504DFD">
        <w:rPr>
          <w:rFonts w:ascii="Times New Roman" w:hAnsi="Times New Roman" w:eastAsia="Times New Roman" w:cs="Times New Roman"/>
          <w:noProof w:val="0"/>
          <w:sz w:val="22"/>
          <w:szCs w:val="22"/>
          <w:lang w:val="de-DE"/>
        </w:rPr>
        <w:t>das</w:t>
      </w:r>
      <w:r w:rsidRPr="39BC363E" w:rsidR="19504DFD">
        <w:rPr>
          <w:rFonts w:ascii="Times New Roman" w:hAnsi="Times New Roman" w:eastAsia="Times New Roman" w:cs="Times New Roman"/>
          <w:noProof w:val="0"/>
          <w:sz w:val="22"/>
          <w:szCs w:val="22"/>
          <w:lang w:val="de-DE"/>
        </w:rPr>
        <w:t xml:space="preserve"> die Benachrichtigung von Personen oder Einheiten nach geltendem Recht erfordert. </w:t>
      </w:r>
    </w:p>
    <w:p w:rsidR="19504DFD" w:rsidP="39BC363E" w:rsidRDefault="19504DFD" w14:paraId="0BD4E965" w14:textId="70D4E595">
      <w:pPr>
        <w:pStyle w:val="ListParagraph"/>
        <w:numPr>
          <w:ilvl w:val="1"/>
          <w:numId w:val="33"/>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„Sicherheitsereignis“ bezeichnet jeden A) Datenverstoß, (B) Benachrichtigungsereignis, (C) unbefugten Zugriff auf oder Störung der Betriebsabläufe der Lieferantensysteme oder (D) Verstoß gegen die Sicherheitsverpflichtungen des Lieferanten gemäß dieser Anlage, dem Vertrag oder geltendem Recht.</w:t>
      </w:r>
    </w:p>
    <w:p w:rsidR="19504DFD" w:rsidP="39BC363E" w:rsidRDefault="19504DFD" w14:paraId="724FE14B" w14:textId="6E7C6D6F">
      <w:pPr>
        <w:pStyle w:val="ListParagraph"/>
        <w:numPr>
          <w:ilvl w:val="1"/>
          <w:numId w:val="33"/>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 xml:space="preserve">„Betreffende Software“ bezeichnet jede Software, die im Zusammenhang mit den Dienstleistungen bereitgestellt oder verwendet wird, einschließlich jeder Software, die auf einem Computer, einschließlich Laptop oder Desktop, mobilem Gerät, Laborequipment, Server, anderem Gerät oder anderer Komponente der Informationssysteme des Unternehmens oder eines seiner verbundenen Unternehmen geliefert oder installiert wird. </w:t>
      </w:r>
    </w:p>
    <w:p w:rsidR="19504DFD" w:rsidP="39BC363E" w:rsidRDefault="19504DFD" w14:paraId="4F57C27F" w14:textId="563F8F7D">
      <w:pPr>
        <w:pStyle w:val="ListParagraph"/>
        <w:numPr>
          <w:ilvl w:val="1"/>
          <w:numId w:val="33"/>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 xml:space="preserve">„Lieferantensysteme“ bezeichnet die Netzwerke des Lieferanten und alle Systeme, einschließlich der betreffenden Software, (A) die im Zusammenhang mit den Dienstleistungen bereitgestellt oder verwendet werden, (B) auf denen Unternehmensinformationen oder Lieferungen oder laufende Arbeiten für das Unternehmen oder seine verbundenen Unternehmen gespeichert oder anderweitig verarbeitet werden oder von denen aus sie zugänglich sind, (C) die mit den Informationen, Netzwerken oder anderen Systemen des Unternehmens oder seiner verbundenen Unternehmen verbunden sind oder von denen aus diese zugänglich sind, oder (D) mit denen die vorstehenden Punkte verbunden sind oder von denen aus sie zugänglich sind. </w:t>
      </w:r>
    </w:p>
    <w:p w:rsidR="19504DFD" w:rsidP="39BC363E" w:rsidRDefault="19504DFD" w14:paraId="1BF1FB30" w14:textId="4C4D043B">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DE"/>
        </w:rPr>
      </w:pPr>
      <w:r w:rsidRPr="39BC363E" w:rsidR="19504DFD">
        <w:rPr>
          <w:rFonts w:ascii="Times New Roman" w:hAnsi="Times New Roman" w:eastAsia="Times New Roman" w:cs="Times New Roman"/>
          <w:noProof w:val="0"/>
          <w:sz w:val="22"/>
          <w:szCs w:val="22"/>
          <w:lang w:val="de-DE"/>
        </w:rPr>
        <w:t>Netzwerksicherheit - Der Lieferant muss Netzwerksicherheitsrichtlinien, -verfahren und -kontrollen aufrechterhalten und Netzwerksicherheitsaktivitäten durchführen, die den Best Practices in der Branche des Lieferanten entsprechen, mindestens jedoch die Bereitstellung von Netzwerk-Firewalls, Kontrollen zur Erkennung und Verhinderung von Eindringlingen, Kontrollen zum Schutz vor Distributed-</w:t>
      </w:r>
      <w:r w:rsidRPr="39BC363E" w:rsidR="19504DFD">
        <w:rPr>
          <w:rFonts w:ascii="Times New Roman" w:hAnsi="Times New Roman" w:eastAsia="Times New Roman" w:cs="Times New Roman"/>
          <w:noProof w:val="0"/>
          <w:sz w:val="22"/>
          <w:szCs w:val="22"/>
          <w:lang w:val="de-DE"/>
        </w:rPr>
        <w:t>Denial</w:t>
      </w:r>
      <w:r w:rsidRPr="39BC363E" w:rsidR="19504DFD">
        <w:rPr>
          <w:rFonts w:ascii="Times New Roman" w:hAnsi="Times New Roman" w:eastAsia="Times New Roman" w:cs="Times New Roman"/>
          <w:noProof w:val="0"/>
          <w:sz w:val="22"/>
          <w:szCs w:val="22"/>
          <w:lang w:val="de-DE"/>
        </w:rPr>
        <w:t>-</w:t>
      </w:r>
      <w:r w:rsidRPr="39BC363E" w:rsidR="19504DFD">
        <w:rPr>
          <w:rFonts w:ascii="Times New Roman" w:hAnsi="Times New Roman" w:eastAsia="Times New Roman" w:cs="Times New Roman"/>
          <w:noProof w:val="0"/>
          <w:sz w:val="22"/>
          <w:szCs w:val="22"/>
          <w:lang w:val="de-DE"/>
        </w:rPr>
        <w:t>of</w:t>
      </w:r>
      <w:r w:rsidRPr="39BC363E" w:rsidR="19504DFD">
        <w:rPr>
          <w:rFonts w:ascii="Times New Roman" w:hAnsi="Times New Roman" w:eastAsia="Times New Roman" w:cs="Times New Roman"/>
          <w:noProof w:val="0"/>
          <w:sz w:val="22"/>
          <w:szCs w:val="22"/>
          <w:lang w:val="de-DE"/>
        </w:rPr>
        <w:t>-Service-Angriffen (DDoS) und regelmäßig durchgeführte Schwachstellenbewertungen und Penetrationstests umfassen, in Übereinstimmung mit den Best Practices in der Branche des Lieferanten (aber nicht weniger häufig als jährlich). In keinem Fall dürfen die Netzwerksicherheitsrichtlinien, -verfahren oder -kontrollen des Lieferanten, die zum Schutz von Unternehmensinformationen und Lieferantensystemen angewendet werden, weniger streng und schützend sein als die vom Lieferanten zum Schutz seiner eigenen Informationen und seiner anderen Systeme ähnlicher Art angewendeten.</w:t>
      </w:r>
    </w:p>
    <w:p w:rsidR="19504DFD" w:rsidP="39BC363E" w:rsidRDefault="19504DFD" w14:paraId="65342725" w14:textId="4A4DB9F8">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Anwendungssicherheit - Je nach Art der erbrachten Dienstleistungen muss der Lieferant, falls zutreffend, Softwareentwicklungslebenszyklusprozesse und -kontrollen ("SDLC-Prozess") haben, die die Entwicklung von und Änderungen an jeglicher Lieferantensoftware regeln, einschließlich Updates, Upgrades, Patches, Verbesserungen, Fehlerbehebungen, Modifikationen, Verbesserungen, Korrekturen, Revisionen, Releases und andere Änderungen. Der SDLC-Prozess muss mindestens anerkannte und vergleichbare Industriestandards für sichere Softwareentwicklungspraktiken enthalten. Der Lieferant muss einen Patch-Management-Prozess befolgen, der sicherstellt, dass die Informationssysteme des Lieferanten mit angemessener Sicherheit und Funktionalität auf dem neuesten Stand sind. Der Lieferant muss zeitnah, entsprechend dem Risiko und innerhalb der in den Richtlinien und Verfahren des Lieferanten vorgesehenen Fristen, jede identifizierte Schwachstelle beheben und erneut testen.</w:t>
      </w:r>
    </w:p>
    <w:p w:rsidR="19504DFD" w:rsidP="39BC363E" w:rsidRDefault="19504DFD" w14:paraId="59D844F7" w14:textId="1167AC85">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DE"/>
        </w:rPr>
      </w:pPr>
      <w:r w:rsidRPr="39BC363E" w:rsidR="19504DFD">
        <w:rPr>
          <w:rFonts w:ascii="Times New Roman" w:hAnsi="Times New Roman" w:eastAsia="Times New Roman" w:cs="Times New Roman"/>
          <w:noProof w:val="0"/>
          <w:sz w:val="22"/>
          <w:szCs w:val="22"/>
          <w:lang w:val="de-DE"/>
        </w:rPr>
        <w:t xml:space="preserve">Datensicherheit - Je nach Art der erbrachten Dienstleistungen muss der Lieferant, falls zutreffend, Unternehmensinformationen gemäß anerkannten und vergleichbaren Branchenpraktiken und -standards, wie sie beispielsweise in Absatz 11 (einschließlich PCI DSS, falls zutreffend) und in Übereinstimmung mit allen Gesetzen, behandeln, speichern und sonst verarbeiten. Der Lieferant muss angemessene Schutzmaßnahmen gegen einen Datenverstoß einrichten und aufrechterhalten. Zusätzlich zu und ohne Einschränkung anderer Verpflichtungen des Lieferanten muss der Lieferant alle Unternehmensinformationen gemäß den besten Praktiken in der Branche des Lieferanten und in Übereinstellung mit allen Gesetzen speichern und Sicherheitsmaßnahmen verwenden, die den besten Praktiken in der Branche des Lieferanten entsprechen, einschließlich Verschlüsselung und Firewalls, um Unternehmensinformationen vor einem Datenverstoß zu schützen. Wenn der Lieferant Unternehmensinformationen in einer externen Einrichtung speichert, muss der Lieferant alle Bedingungen in der Vereinbarung oder in einer im Zusammenhang mit der Vereinbarung abgeschlossenen Vereinbarung erfüllt haben, die sich auf die Offenlegung von Unternehmensinformationen gegenüber Dritten oder das Einbeziehen von Dritten zur Bereitstellung oder Unterstützung von Produkten oder Dienstleistungen beziehen, und der Lieferant muss eine externe Speichereinrichtung verwenden, die für das Unternehmen akzeptabel ist und die, ohne die vorstehenden Bestimmungen einzuschränken, vollständig alle Bestimmungen dieses Anhangs einhält. Darüber hinaus muss der Anbieter einer solchen externen Speichereinrichtung durch eine schriftliche Vertraulichkeitsvereinbarung zwischen dem Lieferanten und dem Anbieter gebunden sein, die Bedingungen enthält, die nicht weniger streng </w:t>
      </w:r>
      <w:r w:rsidRPr="39BC363E" w:rsidR="19504DFD">
        <w:rPr>
          <w:rFonts w:ascii="Times New Roman" w:hAnsi="Times New Roman" w:eastAsia="Times New Roman" w:cs="Times New Roman"/>
          <w:noProof w:val="0"/>
          <w:sz w:val="22"/>
          <w:szCs w:val="22"/>
          <w:lang w:val="de-DE"/>
        </w:rPr>
        <w:t>sind</w:t>
      </w:r>
      <w:r w:rsidRPr="39BC363E" w:rsidR="19504DFD">
        <w:rPr>
          <w:rFonts w:ascii="Times New Roman" w:hAnsi="Times New Roman" w:eastAsia="Times New Roman" w:cs="Times New Roman"/>
          <w:noProof w:val="0"/>
          <w:sz w:val="22"/>
          <w:szCs w:val="22"/>
          <w:lang w:val="de-DE"/>
        </w:rPr>
        <w:t xml:space="preserve"> als die in der Vereinbarung oder einer im Zusammenhang mit der Vereinbarung abgeschlossenen Vereinbarung und die alle darin gespeicherten Unternehmensinformationen schützt.</w:t>
      </w:r>
    </w:p>
    <w:p w:rsidR="19504DFD" w:rsidP="39BC363E" w:rsidRDefault="19504DFD" w14:paraId="229A6454" w14:textId="0091CA09">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Datenspeicherung - Je nach Art der erbrachten Dienstleistungen werden alle Unternehmensinformationen, falls zutreffend, ausschließlich auf den dafür vorgesehenen Rechen- und Speicherressourcen des Lieferanten behandelt, gespeichert und sonst verarbeitet. Unternehmensinformationen werden nur dann auf einem Laptop oder Mobilgerät behandelt, gespeichert oder sonst verarbeitet oder darauf übertragen, wenn (A) es sich um einen Laptop oder ein Mobilgerät des Lieferanten handelt, (B) der Lieferant alle Unternehmensinformationen auf diesem Laptop oder Mobilgerät gemäß den Verschlüsselungsstandards in Absatz 7 unten verschlüsselt und (C) dieser Laptop oder dieses Mobilgerät Endpunkt-Kontrollen unterliegt, die mit anerkannten und vergleichbaren Branchenpraktiken und -standards übereinstimmen, wie sie beispielsweise in Absatz 11 festgelegt sind. Unternehmensinformationen werden nicht auf einem tragbaren Gerät behandelt, gespeichert oder sonst verarbeitet, außer wie im vorhergehenden Satz vorgesehen. Der Lieferant muss alle Backups von Unternehmensinformationen als Teil seiner dafür vorgesehenen Backup- und Wiederherstellungsprozesse speichern, und solche Backups von Unternehmensinformationen müssen gemäß diesem Anhang verschlüsselt werden, einschließlich der Anforderungen dieses Absatzes 5 und Absatz 7 unten.</w:t>
      </w:r>
    </w:p>
    <w:p w:rsidR="19504DFD" w:rsidP="39BC363E" w:rsidRDefault="19504DFD" w14:paraId="2397D80B" w14:textId="095486E8">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Datenübertragung - Je nach Art der erbrachten Dienstleistungen, falls zutreffend, erfolgt jede elektronische Übertragung oder der Austausch von Unternehmensinformationen über sichere Mittel (unter Verwendung von HTTPS oder SFTP oder Äquivalent), die mit anerkannten und vergleichbaren Branchenpraktiken und -standards übereinstimmen, wie sie in Absatz 11 festgelegt sind, und ausschließlich gemäß Absatz 7 unten.</w:t>
      </w:r>
    </w:p>
    <w:p w:rsidR="19504DFD" w:rsidP="39BC363E" w:rsidRDefault="19504DFD" w14:paraId="7872AB82" w14:textId="622577DB">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DE"/>
        </w:rPr>
      </w:pPr>
      <w:r w:rsidRPr="39BC363E" w:rsidR="19504DFD">
        <w:rPr>
          <w:rFonts w:ascii="Times New Roman" w:hAnsi="Times New Roman" w:eastAsia="Times New Roman" w:cs="Times New Roman"/>
          <w:noProof w:val="0"/>
          <w:sz w:val="22"/>
          <w:szCs w:val="22"/>
          <w:lang w:val="de-DE"/>
        </w:rPr>
        <w:t xml:space="preserve">Datenverschlüsselung - Je nach Art der erbrachten Dienstleistungen, falls zutreffend, zusätzlich zu und ohne Einschränkung anderer Verpflichtungen des Lieferanten, stimmt der Lieferant zu, dass alle Unternehmensinformationen, die aus personenbezogenen Daten bestehen, die gemäß einem Gesetz geschützt sind, oder aus Informationen, die gemäß dem aktuellen Payment Card Industry Data </w:t>
      </w:r>
      <w:r w:rsidRPr="39BC363E" w:rsidR="19504DFD">
        <w:rPr>
          <w:rFonts w:ascii="Times New Roman" w:hAnsi="Times New Roman" w:eastAsia="Times New Roman" w:cs="Times New Roman"/>
          <w:noProof w:val="0"/>
          <w:sz w:val="22"/>
          <w:szCs w:val="22"/>
          <w:lang w:val="de-DE"/>
        </w:rPr>
        <w:t>Protection</w:t>
      </w:r>
      <w:r w:rsidRPr="39BC363E" w:rsidR="19504DFD">
        <w:rPr>
          <w:rFonts w:ascii="Times New Roman" w:hAnsi="Times New Roman" w:eastAsia="Times New Roman" w:cs="Times New Roman"/>
          <w:noProof w:val="0"/>
          <w:sz w:val="22"/>
          <w:szCs w:val="22"/>
          <w:lang w:val="de-DE"/>
        </w:rPr>
        <w:t xml:space="preserve"> Standard geschützt sind, einschließlich aller Sicherungsdaten des Unternehmens, in verschlüsselter Form aufbewahrt werden, unter Verwendung einer kommerziell unterstützten Verschlüsselungslösung. Der Lieferant stimmt zu, dass Verschlüsselungslösungen eingesetzt werden, die Unternehmensinformationen in Übereinstimmung mit anerkannten und vergleichbaren Branchenpraktiken und -standards verschlüsseln, wie sie in Absatz 11 festgelegt sind, jedoch mit mindestens einem 128-Bit-Schlüssel für symmetrische Verschlüsselung und einer 2048 (oder größer) Bit Schlüssellänge für asymmetrische Verschlüsselung.</w:t>
      </w:r>
    </w:p>
    <w:p w:rsidR="19504DFD" w:rsidP="39BC363E" w:rsidRDefault="19504DFD" w14:paraId="7A9982DD" w14:textId="16D899EA">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Daten-Wiederverwendung - Je nach Art der erbrachten Dienstleistungen, falls zutreffend, wird der Lieferant alle Unternehmensinformationen ausschließlich zum Zwecke der Erbringung der Dienstleistungen verwenden. Der Lieferant darf keine Unternehmensinformationen verteilen, umwidmen oder über andere Anwendungen, Umgebungen oder Geschäftseinheiten des Lieferanten teilen.</w:t>
      </w:r>
    </w:p>
    <w:p w:rsidR="19504DFD" w:rsidP="39BC363E" w:rsidRDefault="19504DFD" w14:paraId="25BA0866" w14:textId="1FB2C4D1">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Ende der Vereinbarung Datenhandhabung - Je nach Art der erbrachten Dienstleistungen, falls zutreffend, zusätzlich zu und ohne Einschränkung anderer Verpflichtungen des Lieferanten, wird auf Anfrage des Unternehmens und sofern im Vertrag nicht anders vorgesehen, bei Ablauf oder vorzeitiger Beendigung des Vertrags alle Unternehmensinformationen, die sich im Besitz oder unter der Kontrolle des Lieferanten oder eines seiner verbundenen Unternehmen, Subunternehmer, Dienstleister, Agenten oder sonstigen Berater befinden, zerstört oder zurückgegeben, je nach Wahl des Unternehmens.</w:t>
      </w:r>
    </w:p>
    <w:p w:rsidR="19504DFD" w:rsidP="39BC363E" w:rsidRDefault="19504DFD" w14:paraId="09A6A7D1" w14:textId="79543701">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DE"/>
        </w:rPr>
      </w:pPr>
      <w:r w:rsidRPr="39BC363E" w:rsidR="19504DFD">
        <w:rPr>
          <w:rFonts w:ascii="Times New Roman" w:hAnsi="Times New Roman" w:eastAsia="Times New Roman" w:cs="Times New Roman"/>
          <w:noProof w:val="0"/>
          <w:sz w:val="22"/>
          <w:szCs w:val="22"/>
          <w:lang w:val="de-DE"/>
        </w:rPr>
        <w:t xml:space="preserve">Sicherheitsverletzungsbenachrichtigung - Zusätzlich zu und ohne Einschränkung anderer Verpflichtungen des Lieferanten, wird der Lieferant das Unternehmen innerhalb von 24 Stunden nach Kenntnisnahme eines tatsächlichen oder vernünftigerweise vermuteten Sicherheitsereignisses darüber informieren. Der Lieferant wird das Unternehmen über ein solches tatsächliches oder vernünftigerweise vermutetes Sicherheitsereignis informieren, indem er das Sicherheitsteam des Unternehmens telefonisch (+1-704-345-6700 – Option 1 wählen) und per E-Mail Global </w:t>
      </w:r>
      <w:r w:rsidRPr="39BC363E" w:rsidR="19504DFD">
        <w:rPr>
          <w:rFonts w:ascii="Times New Roman" w:hAnsi="Times New Roman" w:eastAsia="Times New Roman" w:cs="Times New Roman"/>
          <w:noProof w:val="0"/>
          <w:sz w:val="22"/>
          <w:szCs w:val="22"/>
          <w:lang w:val="de-DE"/>
        </w:rPr>
        <w:t>Operations</w:t>
      </w:r>
      <w:r w:rsidRPr="39BC363E" w:rsidR="19504DFD">
        <w:rPr>
          <w:rFonts w:ascii="Times New Roman" w:hAnsi="Times New Roman" w:eastAsia="Times New Roman" w:cs="Times New Roman"/>
          <w:noProof w:val="0"/>
          <w:sz w:val="22"/>
          <w:szCs w:val="22"/>
          <w:lang w:val="de-DE"/>
        </w:rPr>
        <w:t xml:space="preserve"> Center </w:t>
      </w:r>
      <w:hyperlink r:id="Rf1e28512d11f4744">
        <w:r w:rsidRPr="39BC363E" w:rsidR="19504DFD">
          <w:rPr>
            <w:rStyle w:val="Hyperlink"/>
            <w:rFonts w:ascii="Times New Roman" w:hAnsi="Times New Roman" w:eastAsia="Times New Roman" w:cs="Times New Roman"/>
            <w:strike w:val="0"/>
            <w:dstrike w:val="0"/>
            <w:noProof w:val="0"/>
            <w:color w:val="0563C1"/>
            <w:sz w:val="22"/>
            <w:szCs w:val="22"/>
            <w:u w:val="single"/>
            <w:lang w:val="de-DE"/>
          </w:rPr>
          <w:t>globalopscnt@merck.com</w:t>
        </w:r>
      </w:hyperlink>
      <w:r w:rsidRPr="39BC363E" w:rsidR="19504DFD">
        <w:rPr>
          <w:rFonts w:ascii="Times New Roman" w:hAnsi="Times New Roman" w:eastAsia="Times New Roman" w:cs="Times New Roman"/>
          <w:noProof w:val="0"/>
          <w:sz w:val="22"/>
          <w:szCs w:val="22"/>
          <w:lang w:val="de-DE"/>
        </w:rPr>
        <w:t xml:space="preserve"> kontaktiert. Der Lieferant wird Informationen und Unterstützung bereitstellen, die das Unternehmen in Bezug auf ein Sicherheitsereignis vernünftigerweise anfordern kann, einschließlich Informationen über die Ursache.</w:t>
      </w:r>
    </w:p>
    <w:p w:rsidR="19504DFD" w:rsidP="39BC363E" w:rsidRDefault="19504DFD" w14:paraId="375DBA10" w14:textId="18EDC829">
      <w:pPr>
        <w:pStyle w:val="ListParagraph"/>
        <w:numPr>
          <w:ilvl w:val="0"/>
          <w:numId w:val="33"/>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Branchenstandards - Allgemein anerkannte Branchenstandards umfassen, sind aber nicht beschränkt auf die aktuellen Standards und Benchmarks, die von den folgenden Stellen festgelegt und gepflegt werden:</w:t>
      </w:r>
    </w:p>
    <w:p w:rsidR="19504DFD" w:rsidP="39BC363E" w:rsidRDefault="19504DFD" w14:paraId="12F0286E" w14:textId="68300608">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DE"/>
        </w:rPr>
      </w:pPr>
      <w:r w:rsidRPr="39BC363E" w:rsidR="19504DFD">
        <w:rPr>
          <w:rFonts w:ascii="Times New Roman" w:hAnsi="Times New Roman" w:eastAsia="Times New Roman" w:cs="Times New Roman"/>
          <w:noProof w:val="0"/>
          <w:sz w:val="22"/>
          <w:szCs w:val="22"/>
          <w:lang w:val="de-DE"/>
        </w:rPr>
        <w:t xml:space="preserve">Center </w:t>
      </w:r>
      <w:r w:rsidRPr="39BC363E" w:rsidR="19504DFD">
        <w:rPr>
          <w:rFonts w:ascii="Times New Roman" w:hAnsi="Times New Roman" w:eastAsia="Times New Roman" w:cs="Times New Roman"/>
          <w:noProof w:val="0"/>
          <w:sz w:val="22"/>
          <w:szCs w:val="22"/>
          <w:lang w:val="de-DE"/>
        </w:rPr>
        <w:t>for</w:t>
      </w:r>
      <w:r w:rsidRPr="39BC363E" w:rsidR="19504DFD">
        <w:rPr>
          <w:rFonts w:ascii="Times New Roman" w:hAnsi="Times New Roman" w:eastAsia="Times New Roman" w:cs="Times New Roman"/>
          <w:noProof w:val="0"/>
          <w:sz w:val="22"/>
          <w:szCs w:val="22"/>
          <w:lang w:val="de-DE"/>
        </w:rPr>
        <w:t xml:space="preserve"> Internet Security - siehe </w:t>
      </w:r>
      <w:hyperlink r:id="R8e0e366c674046d2">
        <w:r w:rsidRPr="39BC363E" w:rsidR="19504DFD">
          <w:rPr>
            <w:rStyle w:val="Hyperlink"/>
            <w:rFonts w:ascii="Times New Roman" w:hAnsi="Times New Roman" w:eastAsia="Times New Roman" w:cs="Times New Roman"/>
            <w:strike w:val="0"/>
            <w:dstrike w:val="0"/>
            <w:noProof w:val="0"/>
            <w:color w:val="0563C1"/>
            <w:sz w:val="22"/>
            <w:szCs w:val="22"/>
            <w:u w:val="single"/>
            <w:lang w:val="de-DE"/>
          </w:rPr>
          <w:t>http://www.cisecurity.org</w:t>
        </w:r>
      </w:hyperlink>
    </w:p>
    <w:p w:rsidR="19504DFD" w:rsidP="39BC363E" w:rsidRDefault="19504DFD" w14:paraId="2C7911CD" w14:textId="059F934B">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
        </w:rPr>
      </w:pPr>
      <w:r w:rsidRPr="39BC363E" w:rsidR="19504DFD">
        <w:rPr>
          <w:rFonts w:ascii="Times New Roman" w:hAnsi="Times New Roman" w:eastAsia="Times New Roman" w:cs="Times New Roman"/>
          <w:noProof w:val="0"/>
          <w:sz w:val="22"/>
          <w:szCs w:val="22"/>
          <w:lang w:val="de"/>
        </w:rPr>
        <w:t xml:space="preserve">Payment Card Industry / Data Security Standards (PCI/DSS) – siehe </w:t>
      </w:r>
      <w:hyperlink r:id="Ra68a88a9d9f54ee3">
        <w:r w:rsidRPr="39BC363E" w:rsidR="19504DFD">
          <w:rPr>
            <w:rStyle w:val="Hyperlink"/>
            <w:rFonts w:ascii="Times New Roman" w:hAnsi="Times New Roman" w:eastAsia="Times New Roman" w:cs="Times New Roman"/>
            <w:strike w:val="0"/>
            <w:dstrike w:val="0"/>
            <w:noProof w:val="0"/>
            <w:color w:val="0563C1"/>
            <w:sz w:val="22"/>
            <w:szCs w:val="22"/>
            <w:u w:val="single"/>
            <w:lang w:val="de"/>
          </w:rPr>
          <w:t>http://www.pcisecuritystandards.org/</w:t>
        </w:r>
      </w:hyperlink>
    </w:p>
    <w:p w:rsidR="19504DFD" w:rsidP="39BC363E" w:rsidRDefault="19504DFD" w14:paraId="45451E96" w14:textId="6B74DFD1">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DE"/>
        </w:rPr>
      </w:pPr>
      <w:r w:rsidRPr="39BC363E" w:rsidR="19504DFD">
        <w:rPr>
          <w:rFonts w:ascii="Times New Roman" w:hAnsi="Times New Roman" w:eastAsia="Times New Roman" w:cs="Times New Roman"/>
          <w:noProof w:val="0"/>
          <w:sz w:val="22"/>
          <w:szCs w:val="22"/>
          <w:lang w:val="de-DE"/>
        </w:rPr>
        <w:t xml:space="preserve">National Institute </w:t>
      </w:r>
      <w:r w:rsidRPr="39BC363E" w:rsidR="19504DFD">
        <w:rPr>
          <w:rFonts w:ascii="Times New Roman" w:hAnsi="Times New Roman" w:eastAsia="Times New Roman" w:cs="Times New Roman"/>
          <w:noProof w:val="0"/>
          <w:sz w:val="22"/>
          <w:szCs w:val="22"/>
          <w:lang w:val="de-DE"/>
        </w:rPr>
        <w:t>for</w:t>
      </w:r>
      <w:r w:rsidRPr="39BC363E" w:rsidR="19504DFD">
        <w:rPr>
          <w:rFonts w:ascii="Times New Roman" w:hAnsi="Times New Roman" w:eastAsia="Times New Roman" w:cs="Times New Roman"/>
          <w:noProof w:val="0"/>
          <w:sz w:val="22"/>
          <w:szCs w:val="22"/>
          <w:lang w:val="de-DE"/>
        </w:rPr>
        <w:t xml:space="preserve"> Standards and Technology - siehe </w:t>
      </w:r>
      <w:hyperlink r:id="Re2a36996f7f44de9">
        <w:r w:rsidRPr="39BC363E" w:rsidR="19504DFD">
          <w:rPr>
            <w:rStyle w:val="Hyperlink"/>
            <w:rFonts w:ascii="Times New Roman" w:hAnsi="Times New Roman" w:eastAsia="Times New Roman" w:cs="Times New Roman"/>
            <w:strike w:val="0"/>
            <w:dstrike w:val="0"/>
            <w:noProof w:val="0"/>
            <w:color w:val="0563C1"/>
            <w:sz w:val="22"/>
            <w:szCs w:val="22"/>
            <w:u w:val="single"/>
            <w:lang w:val="de-DE"/>
          </w:rPr>
          <w:t>http://csrc.nist.gov</w:t>
        </w:r>
      </w:hyperlink>
    </w:p>
    <w:p w:rsidR="19504DFD" w:rsidP="39BC363E" w:rsidRDefault="19504DFD" w14:paraId="1C35F4A7" w14:textId="4A1F3283">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
        </w:rPr>
      </w:pPr>
      <w:r w:rsidRPr="39BC363E" w:rsidR="19504DFD">
        <w:rPr>
          <w:rFonts w:ascii="Times New Roman" w:hAnsi="Times New Roman" w:eastAsia="Times New Roman" w:cs="Times New Roman"/>
          <w:noProof w:val="0"/>
          <w:sz w:val="22"/>
          <w:szCs w:val="22"/>
          <w:lang w:val="de"/>
        </w:rPr>
        <w:t xml:space="preserve">Federal Information Security Management Act (FISMA) - siehe </w:t>
      </w:r>
      <w:hyperlink r:id="Rd6cd5f6e914d428e">
        <w:r w:rsidRPr="39BC363E" w:rsidR="19504DFD">
          <w:rPr>
            <w:rStyle w:val="Hyperlink"/>
            <w:rFonts w:ascii="Times New Roman" w:hAnsi="Times New Roman" w:eastAsia="Times New Roman" w:cs="Times New Roman"/>
            <w:strike w:val="0"/>
            <w:dstrike w:val="0"/>
            <w:noProof w:val="0"/>
            <w:color w:val="0563C1"/>
            <w:sz w:val="22"/>
            <w:szCs w:val="22"/>
            <w:u w:val="single"/>
            <w:lang w:val="de"/>
          </w:rPr>
          <w:t>http://csrc.nist.gov</w:t>
        </w:r>
      </w:hyperlink>
    </w:p>
    <w:p w:rsidR="19504DFD" w:rsidP="39BC363E" w:rsidRDefault="19504DFD" w14:paraId="27EF1C45" w14:textId="4A96825F">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
        </w:rPr>
      </w:pPr>
      <w:r w:rsidRPr="39BC363E" w:rsidR="19504DFD">
        <w:rPr>
          <w:rFonts w:ascii="Times New Roman" w:hAnsi="Times New Roman" w:eastAsia="Times New Roman" w:cs="Times New Roman"/>
          <w:noProof w:val="0"/>
          <w:sz w:val="22"/>
          <w:szCs w:val="22"/>
          <w:lang w:val="de"/>
        </w:rPr>
        <w:t xml:space="preserve">ISO/IEC 27000-series - siehe </w:t>
      </w:r>
      <w:hyperlink r:id="R6688adf72e854b8b">
        <w:r w:rsidRPr="39BC363E" w:rsidR="19504DFD">
          <w:rPr>
            <w:rStyle w:val="Hyperlink"/>
            <w:rFonts w:ascii="Times New Roman" w:hAnsi="Times New Roman" w:eastAsia="Times New Roman" w:cs="Times New Roman"/>
            <w:strike w:val="0"/>
            <w:dstrike w:val="0"/>
            <w:noProof w:val="0"/>
            <w:color w:val="0563C1"/>
            <w:sz w:val="22"/>
            <w:szCs w:val="22"/>
            <w:u w:val="single"/>
            <w:lang w:val="de"/>
          </w:rPr>
          <w:t>http://www.iso27001security.com/</w:t>
        </w:r>
      </w:hyperlink>
    </w:p>
    <w:p w:rsidR="19504DFD" w:rsidP="39BC363E" w:rsidRDefault="19504DFD" w14:paraId="764A2008" w14:textId="7F7B9CF9">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DE"/>
        </w:rPr>
      </w:pPr>
      <w:r w:rsidRPr="39BC363E" w:rsidR="19504DFD">
        <w:rPr>
          <w:rFonts w:ascii="Times New Roman" w:hAnsi="Times New Roman" w:eastAsia="Times New Roman" w:cs="Times New Roman"/>
          <w:noProof w:val="0"/>
          <w:sz w:val="22"/>
          <w:szCs w:val="22"/>
          <w:lang w:val="de-DE"/>
        </w:rPr>
        <w:t>Organization</w:t>
      </w:r>
      <w:r w:rsidRPr="39BC363E" w:rsidR="19504DFD">
        <w:rPr>
          <w:rFonts w:ascii="Times New Roman" w:hAnsi="Times New Roman" w:eastAsia="Times New Roman" w:cs="Times New Roman"/>
          <w:noProof w:val="0"/>
          <w:sz w:val="22"/>
          <w:szCs w:val="22"/>
          <w:lang w:val="de-DE"/>
        </w:rPr>
        <w:t xml:space="preserve"> </w:t>
      </w:r>
      <w:r w:rsidRPr="39BC363E" w:rsidR="19504DFD">
        <w:rPr>
          <w:rFonts w:ascii="Times New Roman" w:hAnsi="Times New Roman" w:eastAsia="Times New Roman" w:cs="Times New Roman"/>
          <w:noProof w:val="0"/>
          <w:sz w:val="22"/>
          <w:szCs w:val="22"/>
          <w:lang w:val="de-DE"/>
        </w:rPr>
        <w:t>for</w:t>
      </w:r>
      <w:r w:rsidRPr="39BC363E" w:rsidR="19504DFD">
        <w:rPr>
          <w:rFonts w:ascii="Times New Roman" w:hAnsi="Times New Roman" w:eastAsia="Times New Roman" w:cs="Times New Roman"/>
          <w:noProof w:val="0"/>
          <w:sz w:val="22"/>
          <w:szCs w:val="22"/>
          <w:lang w:val="de-DE"/>
        </w:rPr>
        <w:t xml:space="preserve"> </w:t>
      </w:r>
      <w:r w:rsidRPr="39BC363E" w:rsidR="19504DFD">
        <w:rPr>
          <w:rFonts w:ascii="Times New Roman" w:hAnsi="Times New Roman" w:eastAsia="Times New Roman" w:cs="Times New Roman"/>
          <w:noProof w:val="0"/>
          <w:sz w:val="22"/>
          <w:szCs w:val="22"/>
          <w:lang w:val="de-DE"/>
        </w:rPr>
        <w:t>the</w:t>
      </w:r>
      <w:r w:rsidRPr="39BC363E" w:rsidR="19504DFD">
        <w:rPr>
          <w:rFonts w:ascii="Times New Roman" w:hAnsi="Times New Roman" w:eastAsia="Times New Roman" w:cs="Times New Roman"/>
          <w:noProof w:val="0"/>
          <w:sz w:val="22"/>
          <w:szCs w:val="22"/>
          <w:lang w:val="de-DE"/>
        </w:rPr>
        <w:t xml:space="preserve"> </w:t>
      </w:r>
      <w:r w:rsidRPr="39BC363E" w:rsidR="19504DFD">
        <w:rPr>
          <w:rFonts w:ascii="Times New Roman" w:hAnsi="Times New Roman" w:eastAsia="Times New Roman" w:cs="Times New Roman"/>
          <w:noProof w:val="0"/>
          <w:sz w:val="22"/>
          <w:szCs w:val="22"/>
          <w:lang w:val="de-DE"/>
        </w:rPr>
        <w:t>Advancement</w:t>
      </w:r>
      <w:r w:rsidRPr="39BC363E" w:rsidR="19504DFD">
        <w:rPr>
          <w:rFonts w:ascii="Times New Roman" w:hAnsi="Times New Roman" w:eastAsia="Times New Roman" w:cs="Times New Roman"/>
          <w:noProof w:val="0"/>
          <w:sz w:val="22"/>
          <w:szCs w:val="22"/>
          <w:lang w:val="de-DE"/>
        </w:rPr>
        <w:t xml:space="preserve"> </w:t>
      </w:r>
      <w:r w:rsidRPr="39BC363E" w:rsidR="19504DFD">
        <w:rPr>
          <w:rFonts w:ascii="Times New Roman" w:hAnsi="Times New Roman" w:eastAsia="Times New Roman" w:cs="Times New Roman"/>
          <w:noProof w:val="0"/>
          <w:sz w:val="22"/>
          <w:szCs w:val="22"/>
          <w:lang w:val="de-DE"/>
        </w:rPr>
        <w:t>of</w:t>
      </w:r>
      <w:r w:rsidRPr="39BC363E" w:rsidR="19504DFD">
        <w:rPr>
          <w:rFonts w:ascii="Times New Roman" w:hAnsi="Times New Roman" w:eastAsia="Times New Roman" w:cs="Times New Roman"/>
          <w:noProof w:val="0"/>
          <w:sz w:val="22"/>
          <w:szCs w:val="22"/>
          <w:lang w:val="de-DE"/>
        </w:rPr>
        <w:t xml:space="preserve"> Structured Information Standards (OASIS) – siehe </w:t>
      </w:r>
      <w:hyperlink r:id="Rc4359528c9254127">
        <w:r w:rsidRPr="39BC363E" w:rsidR="19504DFD">
          <w:rPr>
            <w:rStyle w:val="Hyperlink"/>
            <w:rFonts w:ascii="Times New Roman" w:hAnsi="Times New Roman" w:eastAsia="Times New Roman" w:cs="Times New Roman"/>
            <w:strike w:val="0"/>
            <w:dstrike w:val="0"/>
            <w:noProof w:val="0"/>
            <w:color w:val="0563C1"/>
            <w:sz w:val="22"/>
            <w:szCs w:val="22"/>
            <w:u w:val="single"/>
            <w:lang w:val="de-DE"/>
          </w:rPr>
          <w:t>http://www.oasis-open.org/</w:t>
        </w:r>
      </w:hyperlink>
    </w:p>
    <w:p w:rsidR="19504DFD" w:rsidP="39BC363E" w:rsidRDefault="19504DFD" w14:paraId="424A2E11" w14:textId="7DD127A2">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DE"/>
        </w:rPr>
      </w:pPr>
      <w:r w:rsidRPr="39BC363E" w:rsidR="19504DFD">
        <w:rPr>
          <w:rFonts w:ascii="Times New Roman" w:hAnsi="Times New Roman" w:eastAsia="Times New Roman" w:cs="Times New Roman"/>
          <w:noProof w:val="0"/>
          <w:sz w:val="22"/>
          <w:szCs w:val="22"/>
          <w:lang w:val="de-DE"/>
        </w:rPr>
        <w:t xml:space="preserve">The Open Web </w:t>
      </w:r>
      <w:r w:rsidRPr="39BC363E" w:rsidR="19504DFD">
        <w:rPr>
          <w:rFonts w:ascii="Times New Roman" w:hAnsi="Times New Roman" w:eastAsia="Times New Roman" w:cs="Times New Roman"/>
          <w:noProof w:val="0"/>
          <w:sz w:val="22"/>
          <w:szCs w:val="22"/>
          <w:lang w:val="de-DE"/>
        </w:rPr>
        <w:t>Application</w:t>
      </w:r>
      <w:r w:rsidRPr="39BC363E" w:rsidR="19504DFD">
        <w:rPr>
          <w:rFonts w:ascii="Times New Roman" w:hAnsi="Times New Roman" w:eastAsia="Times New Roman" w:cs="Times New Roman"/>
          <w:noProof w:val="0"/>
          <w:sz w:val="22"/>
          <w:szCs w:val="22"/>
          <w:lang w:val="de-DE"/>
        </w:rPr>
        <w:t xml:space="preserve"> Security </w:t>
      </w:r>
      <w:r w:rsidRPr="39BC363E" w:rsidR="19504DFD">
        <w:rPr>
          <w:rFonts w:ascii="Times New Roman" w:hAnsi="Times New Roman" w:eastAsia="Times New Roman" w:cs="Times New Roman"/>
          <w:noProof w:val="0"/>
          <w:sz w:val="22"/>
          <w:szCs w:val="22"/>
          <w:lang w:val="de-DE"/>
        </w:rPr>
        <w:t>Project’s</w:t>
      </w:r>
      <w:r w:rsidRPr="39BC363E" w:rsidR="19504DFD">
        <w:rPr>
          <w:rFonts w:ascii="Times New Roman" w:hAnsi="Times New Roman" w:eastAsia="Times New Roman" w:cs="Times New Roman"/>
          <w:noProof w:val="0"/>
          <w:sz w:val="22"/>
          <w:szCs w:val="22"/>
          <w:lang w:val="de-DE"/>
        </w:rPr>
        <w:t xml:space="preserve"> (</w:t>
      </w:r>
      <w:r w:rsidRPr="39BC363E" w:rsidR="19504DFD">
        <w:rPr>
          <w:rFonts w:ascii="Times New Roman" w:hAnsi="Times New Roman" w:eastAsia="Times New Roman" w:cs="Times New Roman"/>
          <w:noProof w:val="0"/>
          <w:sz w:val="22"/>
          <w:szCs w:val="22"/>
          <w:lang w:val="de-DE"/>
        </w:rPr>
        <w:t>OWASP)  –</w:t>
      </w:r>
      <w:r w:rsidRPr="39BC363E" w:rsidR="19504DFD">
        <w:rPr>
          <w:rFonts w:ascii="Times New Roman" w:hAnsi="Times New Roman" w:eastAsia="Times New Roman" w:cs="Times New Roman"/>
          <w:noProof w:val="0"/>
          <w:sz w:val="22"/>
          <w:szCs w:val="22"/>
          <w:lang w:val="de-DE"/>
        </w:rPr>
        <w:t xml:space="preserve"> siehe </w:t>
      </w:r>
      <w:hyperlink r:id="R474b68af1ba04fc1">
        <w:r w:rsidRPr="39BC363E" w:rsidR="19504DFD">
          <w:rPr>
            <w:rStyle w:val="Hyperlink"/>
            <w:rFonts w:ascii="Times New Roman" w:hAnsi="Times New Roman" w:eastAsia="Times New Roman" w:cs="Times New Roman"/>
            <w:strike w:val="0"/>
            <w:dstrike w:val="0"/>
            <w:noProof w:val="0"/>
            <w:color w:val="0563C1"/>
            <w:sz w:val="22"/>
            <w:szCs w:val="22"/>
            <w:u w:val="single"/>
            <w:lang w:val="de-DE"/>
          </w:rPr>
          <w:t>http://www.owasp.org</w:t>
        </w:r>
      </w:hyperlink>
    </w:p>
    <w:p w:rsidR="19504DFD" w:rsidP="39BC363E" w:rsidRDefault="19504DFD" w14:paraId="19B8AD15" w14:textId="42D2B32E">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noProof w:val="0"/>
          <w:sz w:val="22"/>
          <w:szCs w:val="22"/>
          <w:lang w:val="de-DE"/>
        </w:rPr>
      </w:pPr>
      <w:r w:rsidRPr="39BC363E" w:rsidR="19504DFD">
        <w:rPr>
          <w:rFonts w:ascii="Times New Roman" w:hAnsi="Times New Roman" w:eastAsia="Times New Roman" w:cs="Times New Roman"/>
          <w:noProof w:val="0"/>
          <w:sz w:val="22"/>
          <w:szCs w:val="22"/>
          <w:lang w:val="de-DE"/>
        </w:rPr>
        <w:t xml:space="preserve">Die CWE (Common </w:t>
      </w:r>
      <w:r w:rsidRPr="39BC363E" w:rsidR="19504DFD">
        <w:rPr>
          <w:rFonts w:ascii="Times New Roman" w:hAnsi="Times New Roman" w:eastAsia="Times New Roman" w:cs="Times New Roman"/>
          <w:noProof w:val="0"/>
          <w:sz w:val="22"/>
          <w:szCs w:val="22"/>
          <w:lang w:val="de-DE"/>
        </w:rPr>
        <w:t>Weakness</w:t>
      </w:r>
      <w:r w:rsidRPr="39BC363E" w:rsidR="19504DFD">
        <w:rPr>
          <w:rFonts w:ascii="Times New Roman" w:hAnsi="Times New Roman" w:eastAsia="Times New Roman" w:cs="Times New Roman"/>
          <w:noProof w:val="0"/>
          <w:sz w:val="22"/>
          <w:szCs w:val="22"/>
          <w:lang w:val="de-DE"/>
        </w:rPr>
        <w:t xml:space="preserve"> Enumeration) - siehe </w:t>
      </w:r>
      <w:hyperlink r:id="R643c1ea7419e457b">
        <w:r w:rsidRPr="39BC363E" w:rsidR="19504DFD">
          <w:rPr>
            <w:rStyle w:val="Hyperlink"/>
            <w:rFonts w:ascii="Times New Roman" w:hAnsi="Times New Roman" w:eastAsia="Times New Roman" w:cs="Times New Roman"/>
            <w:strike w:val="0"/>
            <w:dstrike w:val="0"/>
            <w:noProof w:val="0"/>
            <w:color w:val="0563C1"/>
            <w:sz w:val="22"/>
            <w:szCs w:val="22"/>
            <w:u w:val="single"/>
            <w:lang w:val="de-DE"/>
          </w:rPr>
          <w:t>http://cwe.mitre.org</w:t>
        </w:r>
      </w:hyperlink>
      <w:r w:rsidRPr="39BC363E" w:rsidR="19504DFD">
        <w:rPr>
          <w:rFonts w:ascii="Times New Roman" w:hAnsi="Times New Roman" w:eastAsia="Times New Roman" w:cs="Times New Roman"/>
          <w:noProof w:val="0"/>
          <w:sz w:val="22"/>
          <w:szCs w:val="22"/>
          <w:lang w:val="de-DE"/>
        </w:rPr>
        <w:t xml:space="preserve"> oder CWE/SANS Top 25 Programmierfehler - </w:t>
      </w:r>
      <w:hyperlink r:id="R6fd1a8e9511a4bef">
        <w:r w:rsidRPr="39BC363E" w:rsidR="19504DFD">
          <w:rPr>
            <w:rStyle w:val="Hyperlink"/>
            <w:rFonts w:ascii="Times New Roman" w:hAnsi="Times New Roman" w:eastAsia="Times New Roman" w:cs="Times New Roman"/>
            <w:strike w:val="0"/>
            <w:dstrike w:val="0"/>
            <w:noProof w:val="0"/>
            <w:color w:val="0563C1"/>
            <w:sz w:val="22"/>
            <w:szCs w:val="22"/>
            <w:u w:val="single"/>
            <w:lang w:val="de-DE"/>
          </w:rPr>
          <w:t>http://cwe.mitre.org/top25/</w:t>
        </w:r>
      </w:hyperlink>
      <w:r w:rsidRPr="39BC363E" w:rsidR="19504DFD">
        <w:rPr>
          <w:rFonts w:ascii="Times New Roman" w:hAnsi="Times New Roman" w:eastAsia="Times New Roman" w:cs="Times New Roman"/>
          <w:noProof w:val="0"/>
          <w:sz w:val="22"/>
          <w:szCs w:val="22"/>
          <w:lang w:val="de-DE"/>
        </w:rPr>
        <w:t xml:space="preserve"> </w:t>
      </w:r>
    </w:p>
    <w:p w:rsidR="19504DFD" w:rsidP="39BC363E" w:rsidRDefault="19504DFD" w14:paraId="1C8A4ED2" w14:textId="4023AD39">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
        </w:rPr>
      </w:pPr>
      <w:r w:rsidRPr="39BC363E" w:rsidR="19504DFD">
        <w:rPr>
          <w:rFonts w:ascii="Times New Roman" w:hAnsi="Times New Roman" w:eastAsia="Times New Roman" w:cs="Times New Roman"/>
          <w:noProof w:val="0"/>
          <w:sz w:val="22"/>
          <w:szCs w:val="22"/>
          <w:lang w:val="de"/>
        </w:rPr>
        <w:t xml:space="preserve">Das SANS-Institut - siehe </w:t>
      </w:r>
      <w:hyperlink r:id="Rfe36c94292fd482c">
        <w:r w:rsidRPr="39BC363E" w:rsidR="19504DFD">
          <w:rPr>
            <w:rStyle w:val="Hyperlink"/>
            <w:rFonts w:ascii="Times New Roman" w:hAnsi="Times New Roman" w:eastAsia="Times New Roman" w:cs="Times New Roman"/>
            <w:strike w:val="0"/>
            <w:dstrike w:val="0"/>
            <w:noProof w:val="0"/>
            <w:color w:val="0563C1"/>
            <w:sz w:val="22"/>
            <w:szCs w:val="22"/>
            <w:u w:val="single"/>
            <w:lang w:val="de"/>
          </w:rPr>
          <w:t>http://www.sans.org</w:t>
        </w:r>
      </w:hyperlink>
    </w:p>
    <w:p w:rsidR="19504DFD" w:rsidP="39BC363E" w:rsidRDefault="19504DFD" w14:paraId="3D144999" w14:textId="72A975CA">
      <w:pPr>
        <w:pStyle w:val="ListParagraph"/>
        <w:numPr>
          <w:ilvl w:val="1"/>
          <w:numId w:val="33"/>
        </w:numPr>
        <w:spacing w:before="0" w:beforeAutospacing="off" w:after="0" w:afterAutospacing="off" w:line="276" w:lineRule="auto"/>
        <w:ind w:left="1440" w:right="0" w:hanging="360"/>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 xml:space="preserve">Die gefährlichsten Softwarefehler </w:t>
      </w:r>
      <w:hyperlink r:id="Ra7510dbe079e43b9">
        <w:r w:rsidRPr="39BC363E" w:rsidR="19504DFD">
          <w:rPr>
            <w:rStyle w:val="Hyperlink"/>
            <w:rFonts w:ascii="Times New Roman" w:hAnsi="Times New Roman" w:eastAsia="Times New Roman" w:cs="Times New Roman"/>
            <w:strike w:val="0"/>
            <w:dstrike w:val="0"/>
            <w:noProof w:val="0"/>
            <w:color w:val="0563C1"/>
            <w:sz w:val="22"/>
            <w:szCs w:val="22"/>
            <w:u w:val="single"/>
            <w:lang w:val="de"/>
          </w:rPr>
          <w:t>http://www.sans.org/top25-programming-errors/</w:t>
        </w:r>
      </w:hyperlink>
      <w:r w:rsidRPr="39BC363E" w:rsidR="19504DFD">
        <w:rPr>
          <w:rFonts w:ascii="Times New Roman" w:hAnsi="Times New Roman" w:eastAsia="Times New Roman" w:cs="Times New Roman"/>
          <w:noProof w:val="0"/>
          <w:sz w:val="22"/>
          <w:szCs w:val="22"/>
          <w:lang w:val="de"/>
        </w:rPr>
        <w:t xml:space="preserve">   </w:t>
      </w:r>
    </w:p>
    <w:p w:rsidR="19504DFD" w:rsidP="39BC363E" w:rsidRDefault="19504DFD" w14:paraId="15F45511" w14:textId="022B5571">
      <w:pPr>
        <w:spacing w:before="0" w:beforeAutospacing="off" w:after="240" w:afterAutospacing="off" w:line="276" w:lineRule="auto"/>
        <w:jc w:val="both"/>
        <w:rPr>
          <w:rFonts w:ascii="Times New Roman" w:hAnsi="Times New Roman" w:eastAsia="Times New Roman" w:cs="Times New Roman"/>
          <w:noProof w:val="0"/>
          <w:sz w:val="22"/>
          <w:szCs w:val="22"/>
          <w:lang w:val="de"/>
        </w:rPr>
      </w:pPr>
      <w:r w:rsidRPr="39BC363E" w:rsidR="19504DFD">
        <w:rPr>
          <w:rFonts w:ascii="Times New Roman" w:hAnsi="Times New Roman" w:eastAsia="Times New Roman" w:cs="Times New Roman"/>
          <w:noProof w:val="0"/>
          <w:sz w:val="22"/>
          <w:szCs w:val="22"/>
          <w:lang w:val="de"/>
        </w:rPr>
        <w:t>Auf angemessene Anfrage des Unternehmens hin, soll der Lieferant dem Unternehmen die Überprüfung der Einhaltung der oben genannten Anforderungen durch den Lieferanten ermöglichen. Der Lieferant soll etwaige Nichteinhaltungen der Anforderungen so schnell wie möglich beheben.</w:t>
      </w:r>
    </w:p>
    <w:p w:rsidR="39BC363E" w:rsidP="39BC363E" w:rsidRDefault="39BC363E" w14:paraId="39C87BE7" w14:textId="0BFCAA4B">
      <w:pPr>
        <w:rPr>
          <w:rFonts w:ascii="Times New Roman" w:hAnsi="Times New Roman" w:eastAsia="Times New Roman" w:cs="Times New Roman"/>
          <w:sz w:val="22"/>
          <w:szCs w:val="22"/>
        </w:rPr>
      </w:pPr>
    </w:p>
    <w:p w:rsidR="39BC363E" w:rsidP="39BC363E" w:rsidRDefault="39BC363E" w14:paraId="295D7C89" w14:textId="7534B88A">
      <w:pPr>
        <w:rPr>
          <w:rFonts w:ascii="Times New Roman" w:hAnsi="Times New Roman" w:eastAsia="Times New Roman" w:cs="Times New Roman"/>
          <w:sz w:val="22"/>
          <w:szCs w:val="22"/>
        </w:rPr>
      </w:pPr>
      <w:r w:rsidRPr="39BC363E">
        <w:rPr>
          <w:rFonts w:ascii="Times New Roman" w:hAnsi="Times New Roman" w:eastAsia="Times New Roman" w:cs="Times New Roman"/>
          <w:sz w:val="22"/>
          <w:szCs w:val="22"/>
        </w:rPr>
        <w:br w:type="page"/>
      </w:r>
    </w:p>
    <w:p w:rsidR="00250A6C" w:rsidP="39BC363E" w:rsidRDefault="00250A6C" w14:paraId="4F79DB57" w14:textId="43E38E5B">
      <w:pPr>
        <w:pStyle w:val="Default"/>
        <w:spacing w:before="240" w:after="100" w:afterAutospacing="on"/>
        <w:jc w:val="center"/>
        <w:rPr>
          <w:rFonts w:ascii="Times New Roman" w:hAnsi="Times New Roman" w:eastAsia="Times New Roman" w:cs="Times New Roman"/>
          <w:b w:val="1"/>
          <w:bCs w:val="1"/>
          <w:color w:val="auto"/>
          <w:sz w:val="22"/>
          <w:szCs w:val="22"/>
        </w:rPr>
      </w:pPr>
      <w:r w:rsidRPr="39BC363E" w:rsidR="00250A6C">
        <w:rPr>
          <w:rFonts w:ascii="Times New Roman" w:hAnsi="Times New Roman" w:eastAsia="Times New Roman" w:cs="Times New Roman"/>
          <w:b w:val="1"/>
          <w:bCs w:val="1"/>
          <w:color w:val="auto"/>
          <w:sz w:val="22"/>
          <w:szCs w:val="22"/>
        </w:rPr>
        <w:t>ANHANG 2</w:t>
      </w:r>
    </w:p>
    <w:p w:rsidRPr="008B5D29" w:rsidR="00AE1A30" w:rsidP="39BC363E" w:rsidRDefault="00AE1A30" w14:paraId="0963359A" w14:textId="05E8CDF1">
      <w:pPr>
        <w:pStyle w:val="Default"/>
        <w:spacing w:before="240" w:after="100" w:afterAutospacing="on"/>
        <w:rPr>
          <w:rFonts w:ascii="Times New Roman" w:hAnsi="Times New Roman" w:eastAsia="Times New Roman" w:cs="Times New Roman"/>
          <w:color w:val="auto"/>
          <w:sz w:val="22"/>
          <w:szCs w:val="22"/>
        </w:rPr>
      </w:pPr>
      <w:r w:rsidRPr="39BC363E" w:rsidR="00AE1A30">
        <w:rPr>
          <w:rFonts w:ascii="Times New Roman" w:hAnsi="Times New Roman" w:eastAsia="Times New Roman" w:cs="Times New Roman"/>
          <w:color w:val="auto"/>
          <w:sz w:val="22"/>
          <w:szCs w:val="22"/>
        </w:rPr>
        <w:t>Für den Fall, dass das Unternehmen oder der Anbieter personenbezogene Daten in einer Weise exportiert, die Modul 1 der Standardvertragsklauseln erfordert, gelten die folgenden Bedingungen:</w:t>
      </w:r>
    </w:p>
    <w:p w:rsidRPr="008B5D29" w:rsidR="00AE1A30" w:rsidP="39BC363E" w:rsidRDefault="00AE1A30" w14:paraId="3E0BFD42" w14:textId="77777777">
      <w:pPr>
        <w:pStyle w:val="Default"/>
        <w:spacing w:before="240" w:after="100" w:afterAutospacing="on"/>
        <w:rPr>
          <w:rFonts w:ascii="Times New Roman" w:hAnsi="Times New Roman" w:eastAsia="Times New Roman" w:cs="Times New Roman"/>
          <w:i w:val="1"/>
          <w:iCs w:val="1"/>
          <w:color w:val="auto"/>
          <w:sz w:val="22"/>
          <w:szCs w:val="22"/>
        </w:rPr>
      </w:pPr>
      <w:r w:rsidRPr="39BC363E" w:rsidR="00AE1A30">
        <w:rPr>
          <w:rFonts w:ascii="Times New Roman" w:hAnsi="Times New Roman" w:eastAsia="Times New Roman" w:cs="Times New Roman"/>
          <w:i w:val="1"/>
          <w:iCs w:val="1"/>
          <w:color w:val="auto"/>
          <w:sz w:val="22"/>
          <w:szCs w:val="22"/>
        </w:rPr>
        <w:t>Der Haupttext von Modul 1 (Verantwortlicher an Verantwortlicher) der Standardvertragsklauseln, die dem Durchführungsbeschluss (EU) 2021/914 der Kommission vom 4. Juni 2021 beigefügt sind, wird hiermit durch Verweis aufgenommen. Optionale Aspekte werden im Folgenden beschrieben:</w:t>
      </w:r>
    </w:p>
    <w:p w:rsidRPr="008B5D29" w:rsidR="00AE1A30" w:rsidP="39BC363E" w:rsidRDefault="00AE1A30" w14:paraId="6CFF9C2C" w14:textId="77777777">
      <w:pPr>
        <w:pStyle w:val="Default"/>
        <w:numPr>
          <w:ilvl w:val="0"/>
          <w:numId w:val="30"/>
        </w:numPr>
        <w:spacing w:before="240" w:after="100" w:afterAutospacing="on"/>
        <w:rPr>
          <w:rFonts w:ascii="Times New Roman" w:hAnsi="Times New Roman" w:eastAsia="Times New Roman" w:cs="Times New Roman"/>
          <w:i w:val="1"/>
          <w:iCs w:val="1"/>
          <w:color w:val="auto"/>
          <w:sz w:val="22"/>
          <w:szCs w:val="22"/>
        </w:rPr>
      </w:pPr>
      <w:r w:rsidRPr="39BC363E" w:rsidR="00AE1A30">
        <w:rPr>
          <w:rFonts w:ascii="Times New Roman" w:hAnsi="Times New Roman" w:eastAsia="Times New Roman" w:cs="Times New Roman"/>
          <w:i w:val="1"/>
          <w:iCs w:val="1"/>
          <w:color w:val="auto"/>
          <w:sz w:val="22"/>
          <w:szCs w:val="22"/>
        </w:rPr>
        <w:t>Klausel 7 (Andockklausel) entfällt.</w:t>
      </w:r>
    </w:p>
    <w:p w:rsidRPr="008B5D29" w:rsidR="00AE1A30" w:rsidP="39BC363E" w:rsidRDefault="00AE1A30" w14:paraId="251743F7" w14:textId="77777777">
      <w:pPr>
        <w:pStyle w:val="Default"/>
        <w:numPr>
          <w:ilvl w:val="0"/>
          <w:numId w:val="30"/>
        </w:numPr>
        <w:spacing w:before="240" w:after="100" w:afterAutospacing="on"/>
        <w:rPr>
          <w:rFonts w:ascii="Times New Roman" w:hAnsi="Times New Roman" w:eastAsia="Times New Roman" w:cs="Times New Roman"/>
          <w:i w:val="1"/>
          <w:iCs w:val="1"/>
          <w:color w:val="auto"/>
          <w:sz w:val="22"/>
          <w:szCs w:val="22"/>
        </w:rPr>
      </w:pPr>
      <w:r w:rsidRPr="39BC363E" w:rsidR="00AE1A30">
        <w:rPr>
          <w:rFonts w:ascii="Times New Roman" w:hAnsi="Times New Roman" w:eastAsia="Times New Roman" w:cs="Times New Roman"/>
          <w:i w:val="1"/>
          <w:iCs w:val="1"/>
          <w:color w:val="auto"/>
          <w:sz w:val="22"/>
          <w:szCs w:val="22"/>
        </w:rPr>
        <w:t>Für Klausel 11 entfällt der optionale Text.</w:t>
      </w:r>
    </w:p>
    <w:p w:rsidRPr="008B5D29" w:rsidR="00AE1A30" w:rsidP="39BC363E" w:rsidRDefault="00AE1A30" w14:paraId="08971780" w14:textId="77777777">
      <w:pPr>
        <w:pStyle w:val="Default"/>
        <w:numPr>
          <w:ilvl w:val="0"/>
          <w:numId w:val="30"/>
        </w:numPr>
        <w:spacing w:before="240" w:after="100" w:afterAutospacing="on"/>
        <w:rPr>
          <w:rFonts w:ascii="Times New Roman" w:hAnsi="Times New Roman" w:eastAsia="Times New Roman" w:cs="Times New Roman"/>
          <w:i w:val="1"/>
          <w:iCs w:val="1"/>
          <w:color w:val="auto"/>
          <w:sz w:val="22"/>
          <w:szCs w:val="22"/>
        </w:rPr>
      </w:pPr>
      <w:r w:rsidRPr="39BC363E" w:rsidR="00AE1A30">
        <w:rPr>
          <w:rFonts w:ascii="Times New Roman" w:hAnsi="Times New Roman" w:eastAsia="Times New Roman" w:cs="Times New Roman"/>
          <w:i w:val="1"/>
          <w:iCs w:val="1"/>
          <w:color w:val="auto"/>
          <w:sz w:val="22"/>
          <w:szCs w:val="22"/>
        </w:rPr>
        <w:t>Für Klausel 17 wird Option 1 gewählt, wobei der Mitgliedstaat die Niederlande ist.</w:t>
      </w:r>
    </w:p>
    <w:p w:rsidRPr="008B5D29" w:rsidR="00AE1A30" w:rsidP="39BC363E" w:rsidRDefault="00AE1A30" w14:paraId="276D48E4" w14:textId="77777777">
      <w:pPr>
        <w:pStyle w:val="Default"/>
        <w:numPr>
          <w:ilvl w:val="0"/>
          <w:numId w:val="30"/>
        </w:numPr>
        <w:spacing w:before="240" w:after="100" w:afterAutospacing="on"/>
        <w:rPr>
          <w:rFonts w:ascii="Times New Roman" w:hAnsi="Times New Roman" w:eastAsia="Times New Roman" w:cs="Times New Roman"/>
          <w:i w:val="1"/>
          <w:iCs w:val="1"/>
          <w:color w:val="auto"/>
          <w:sz w:val="22"/>
          <w:szCs w:val="22"/>
        </w:rPr>
      </w:pPr>
      <w:r w:rsidRPr="39BC363E" w:rsidR="00AE1A30">
        <w:rPr>
          <w:rFonts w:ascii="Times New Roman" w:hAnsi="Times New Roman" w:eastAsia="Times New Roman" w:cs="Times New Roman"/>
          <w:i w:val="1"/>
          <w:iCs w:val="1"/>
          <w:color w:val="auto"/>
          <w:sz w:val="22"/>
          <w:szCs w:val="22"/>
        </w:rPr>
        <w:t>Für Klausel 18 ist der Gerichtsstand die Niederlande.</w:t>
      </w:r>
    </w:p>
    <w:p w:rsidRPr="003A7CD5" w:rsidR="004D47DF" w:rsidP="39BC363E" w:rsidRDefault="004D47DF" w14:paraId="66433E89" w14:textId="77777777">
      <w:pPr>
        <w:rPr>
          <w:rFonts w:ascii="Times New Roman" w:hAnsi="Times New Roman" w:eastAsia="Times New Roman" w:cs="Times New Roman"/>
          <w:sz w:val="22"/>
          <w:szCs w:val="22"/>
        </w:rPr>
      </w:pPr>
    </w:p>
    <w:p w:rsidRPr="00F320EA" w:rsidR="00C947AD" w:rsidP="39BC363E" w:rsidRDefault="00C947AD" w14:paraId="2B6B2F00" w14:textId="54FFFB0A">
      <w:pPr>
        <w:jc w:val="center"/>
        <w:rPr>
          <w:rFonts w:ascii="Times New Roman" w:hAnsi="Times New Roman" w:eastAsia="Times New Roman" w:cs="Times New Roman"/>
          <w:b w:val="1"/>
          <w:bCs w:val="1"/>
          <w:sz w:val="22"/>
          <w:szCs w:val="22"/>
        </w:rPr>
      </w:pPr>
      <w:r w:rsidRPr="39BC363E" w:rsidR="00C947AD">
        <w:rPr>
          <w:rFonts w:ascii="Times New Roman" w:hAnsi="Times New Roman" w:eastAsia="Times New Roman" w:cs="Times New Roman"/>
          <w:b w:val="1"/>
          <w:bCs w:val="1"/>
          <w:sz w:val="22"/>
          <w:szCs w:val="22"/>
        </w:rPr>
        <w:t>ANHANG</w:t>
      </w:r>
      <w:r w:rsidRPr="39BC363E" w:rsidR="00C947AD">
        <w:rPr>
          <w:rFonts w:ascii="Times New Roman" w:hAnsi="Times New Roman" w:eastAsia="Times New Roman" w:cs="Times New Roman"/>
          <w:b w:val="1"/>
          <w:bCs w:val="1"/>
          <w:sz w:val="22"/>
          <w:szCs w:val="22"/>
        </w:rPr>
        <w:t> </w:t>
      </w:r>
      <w:r w:rsidRPr="39BC363E" w:rsidR="00C947AD">
        <w:rPr>
          <w:rFonts w:ascii="Times New Roman" w:hAnsi="Times New Roman" w:eastAsia="Times New Roman" w:cs="Times New Roman"/>
          <w:b w:val="1"/>
          <w:bCs w:val="1"/>
          <w:sz w:val="22"/>
          <w:szCs w:val="22"/>
        </w:rPr>
        <w:t>1 ZU ANLAGE</w:t>
      </w:r>
      <w:r w:rsidRPr="39BC363E" w:rsidR="00C947AD">
        <w:rPr>
          <w:rFonts w:ascii="Times New Roman" w:hAnsi="Times New Roman" w:eastAsia="Times New Roman" w:cs="Times New Roman"/>
          <w:b w:val="1"/>
          <w:bCs w:val="1"/>
          <w:sz w:val="22"/>
          <w:szCs w:val="22"/>
        </w:rPr>
        <w:t> </w:t>
      </w:r>
      <w:r w:rsidRPr="39BC363E" w:rsidR="00C947AD">
        <w:rPr>
          <w:rFonts w:ascii="Times New Roman" w:hAnsi="Times New Roman" w:eastAsia="Times New Roman" w:cs="Times New Roman"/>
          <w:b w:val="1"/>
          <w:bCs w:val="1"/>
          <w:sz w:val="22"/>
          <w:szCs w:val="22"/>
        </w:rPr>
        <w:t>2</w:t>
      </w:r>
    </w:p>
    <w:p w:rsidRPr="008B5D29" w:rsidR="00DF28BA" w:rsidP="39BC363E" w:rsidRDefault="00DF28BA" w14:paraId="19E56478" w14:textId="77777777">
      <w:pPr>
        <w:pStyle w:val="Default"/>
        <w:spacing w:before="240" w:after="100" w:afterAutospacing="on"/>
        <w:rPr>
          <w:rFonts w:ascii="Times New Roman" w:hAnsi="Times New Roman" w:eastAsia="Times New Roman" w:cs="Times New Roman"/>
          <w:b w:val="1"/>
          <w:bCs w:val="1"/>
          <w:color w:val="auto"/>
          <w:sz w:val="22"/>
          <w:szCs w:val="22"/>
        </w:rPr>
      </w:pPr>
      <w:r w:rsidRPr="39BC363E" w:rsidR="00DF28BA">
        <w:rPr>
          <w:rFonts w:ascii="Times New Roman" w:hAnsi="Times New Roman" w:eastAsia="Times New Roman" w:cs="Times New Roman"/>
          <w:b w:val="1"/>
          <w:bCs w:val="1"/>
          <w:color w:val="auto"/>
          <w:sz w:val="22"/>
          <w:szCs w:val="22"/>
        </w:rPr>
        <w:t>A. LISTE DER PARTEIEN</w:t>
      </w:r>
    </w:p>
    <w:p w:rsidRPr="008B5D29" w:rsidR="00DF28BA" w:rsidP="39BC363E" w:rsidRDefault="00DF28BA" w14:paraId="104C01CD" w14:textId="77777777">
      <w:pPr>
        <w:pStyle w:val="Default"/>
        <w:spacing w:before="240" w:after="100" w:afterAutospacing="on"/>
        <w:rPr>
          <w:rFonts w:ascii="Times New Roman" w:hAnsi="Times New Roman" w:eastAsia="Times New Roman" w:cs="Times New Roman"/>
          <w:color w:val="auto"/>
          <w:sz w:val="22"/>
          <w:szCs w:val="22"/>
        </w:rPr>
      </w:pPr>
      <w:r w:rsidRPr="39BC363E" w:rsidR="00DF28BA">
        <w:rPr>
          <w:rFonts w:ascii="Times New Roman" w:hAnsi="Times New Roman" w:eastAsia="Times New Roman" w:cs="Times New Roman"/>
          <w:i w:val="1"/>
          <w:iCs w:val="1"/>
          <w:color w:val="auto"/>
          <w:sz w:val="22"/>
          <w:szCs w:val="22"/>
        </w:rPr>
        <w:t>Siehe Vereinbarung</w:t>
      </w:r>
    </w:p>
    <w:p w:rsidRPr="008B5D29" w:rsidR="00DF28BA" w:rsidP="39BC363E" w:rsidRDefault="00DF28BA" w14:paraId="4EEDBD69" w14:textId="77777777">
      <w:pPr>
        <w:pStyle w:val="Default"/>
        <w:spacing w:before="240" w:after="100" w:afterAutospacing="on"/>
        <w:rPr>
          <w:rFonts w:ascii="Times New Roman" w:hAnsi="Times New Roman" w:eastAsia="Times New Roman" w:cs="Times New Roman"/>
          <w:b w:val="1"/>
          <w:bCs w:val="1"/>
          <w:color w:val="auto"/>
          <w:sz w:val="22"/>
          <w:szCs w:val="22"/>
        </w:rPr>
      </w:pPr>
      <w:r w:rsidRPr="39BC363E" w:rsidR="00DF28BA">
        <w:rPr>
          <w:rFonts w:ascii="Times New Roman" w:hAnsi="Times New Roman" w:eastAsia="Times New Roman" w:cs="Times New Roman"/>
          <w:b w:val="1"/>
          <w:bCs w:val="1"/>
          <w:color w:val="auto"/>
          <w:sz w:val="22"/>
          <w:szCs w:val="22"/>
        </w:rPr>
        <w:t>B. BESCHREIBUNG DER ÜBERTRAGUNG</w:t>
      </w:r>
    </w:p>
    <w:p w:rsidRPr="008B5D29" w:rsidR="00DF28BA" w:rsidP="39BC363E" w:rsidRDefault="00DF28BA" w14:paraId="118837DE" w14:textId="77777777">
      <w:pPr>
        <w:pStyle w:val="Default"/>
        <w:spacing w:before="240" w:after="100" w:afterAutospacing="on"/>
        <w:rPr>
          <w:rFonts w:ascii="Times New Roman" w:hAnsi="Times New Roman" w:eastAsia="Times New Roman" w:cs="Times New Roman"/>
          <w:i w:val="1"/>
          <w:iCs w:val="1"/>
          <w:color w:val="auto"/>
          <w:sz w:val="22"/>
          <w:szCs w:val="22"/>
        </w:rPr>
      </w:pPr>
      <w:r w:rsidRPr="39BC363E" w:rsidR="00DF28BA">
        <w:rPr>
          <w:rFonts w:ascii="Times New Roman" w:hAnsi="Times New Roman" w:eastAsia="Times New Roman" w:cs="Times New Roman"/>
          <w:i w:val="1"/>
          <w:iCs w:val="1"/>
          <w:color w:val="auto"/>
          <w:sz w:val="22"/>
          <w:szCs w:val="22"/>
        </w:rPr>
        <w:t>Siehe Anlage zur Vereinbarung mit dem Titel „Die Datenverarbeitung im Einzelnen“.</w:t>
      </w:r>
    </w:p>
    <w:p w:rsidRPr="008B5D29" w:rsidR="002C30F1" w:rsidP="39BC363E" w:rsidRDefault="002C30F1" w14:paraId="0599B665" w14:textId="77777777">
      <w:pPr>
        <w:pStyle w:val="Default"/>
        <w:spacing w:before="240" w:after="100" w:afterAutospacing="on"/>
        <w:rPr>
          <w:rFonts w:ascii="Times New Roman" w:hAnsi="Times New Roman" w:eastAsia="Times New Roman" w:cs="Times New Roman"/>
          <w:color w:val="auto"/>
          <w:sz w:val="22"/>
          <w:szCs w:val="22"/>
          <w:lang w:val="fr-FR"/>
        </w:rPr>
      </w:pPr>
      <w:r w:rsidRPr="39BC363E" w:rsidR="002C30F1">
        <w:rPr>
          <w:rFonts w:ascii="Times New Roman" w:hAnsi="Times New Roman" w:eastAsia="Times New Roman" w:cs="Times New Roman"/>
          <w:b w:val="1"/>
          <w:bCs w:val="1"/>
          <w:color w:val="auto"/>
          <w:sz w:val="22"/>
          <w:szCs w:val="22"/>
          <w:lang w:val="fr-FR"/>
        </w:rPr>
        <w:t xml:space="preserve">C. ZUSTÄNDIGE AUFSICHTSBEHÖRDE </w:t>
      </w:r>
    </w:p>
    <w:p w:rsidR="4B30F6B8" w:rsidP="39BC363E" w:rsidRDefault="4B30F6B8" w14:paraId="6A5EA225" w14:textId="2A0A554B">
      <w:pPr>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de-DE"/>
        </w:rPr>
      </w:pPr>
      <w:r w:rsidRPr="39BC363E" w:rsidR="4B30F6B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Commission Nationale de </w:t>
      </w:r>
      <w:r w:rsidRPr="39BC363E" w:rsidR="4B30F6B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l'Informatique</w:t>
      </w:r>
      <w:r w:rsidRPr="39BC363E" w:rsidR="4B30F6B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et des </w:t>
      </w:r>
      <w:r w:rsidRPr="39BC363E" w:rsidR="4B30F6B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Libertés</w:t>
      </w:r>
      <w:r w:rsidRPr="39BC363E" w:rsidR="4B30F6B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 CNIL</w:t>
      </w:r>
      <w:r>
        <w:br/>
      </w:r>
      <w:r w:rsidRPr="39BC363E" w:rsidR="4B30F6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 Place de Fontenoy</w:t>
      </w:r>
    </w:p>
    <w:p w:rsidR="4B30F6B8" w:rsidP="39BC363E" w:rsidRDefault="4B30F6B8" w14:paraId="66ACDB9E" w14:textId="73737368">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9BC363E" w:rsidR="4B30F6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TSA 80715</w:t>
      </w:r>
    </w:p>
    <w:p w:rsidR="4B30F6B8" w:rsidP="39BC363E" w:rsidRDefault="4B30F6B8" w14:paraId="041C932A" w14:textId="0A7C639B">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9BC363E" w:rsidR="4B30F6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75334 PARIS CEDEX 07</w:t>
      </w:r>
      <w:r>
        <w:br/>
      </w:r>
      <w:r w:rsidRPr="39BC363E" w:rsidR="4B30F6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Tel. +33 1 53 73 22 22</w:t>
      </w:r>
      <w:r>
        <w:br/>
      </w:r>
      <w:r w:rsidRPr="39BC363E" w:rsidR="4B30F6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Fax +33 1 53 73 22 00</w:t>
      </w:r>
      <w:r>
        <w:br/>
      </w:r>
      <w:r w:rsidRPr="39BC363E" w:rsidR="4B30F6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Website: </w:t>
      </w:r>
      <w:hyperlink r:id="Re93b245dfce34abd">
        <w:r w:rsidRPr="39BC363E" w:rsidR="4B30F6B8">
          <w:rPr>
            <w:rStyle w:val="Hyperlink"/>
            <w:rFonts w:ascii="Times New Roman" w:hAnsi="Times New Roman" w:eastAsia="Times New Roman" w:cs="Times New Roman"/>
            <w:b w:val="1"/>
            <w:bCs w:val="1"/>
            <w:i w:val="0"/>
            <w:iCs w:val="0"/>
            <w:caps w:val="0"/>
            <w:smallCaps w:val="0"/>
            <w:strike w:val="0"/>
            <w:dstrike w:val="0"/>
            <w:noProof w:val="0"/>
            <w:sz w:val="22"/>
            <w:szCs w:val="22"/>
            <w:lang w:val="en-US"/>
          </w:rPr>
          <w:t>http://www.cnil.fr/</w:t>
        </w:r>
      </w:hyperlink>
    </w:p>
    <w:p w:rsidR="248950B7" w:rsidP="39BC363E" w:rsidRDefault="248950B7" w14:paraId="52A9BE4F" w14:textId="2D3C4513">
      <w:pPr>
        <w:pStyle w:val="Default"/>
        <w:spacing w:before="240" w:afterAutospacing="on"/>
        <w:rPr>
          <w:rFonts w:ascii="Times New Roman" w:hAnsi="Times New Roman" w:eastAsia="Times New Roman" w:cs="Times New Roman"/>
          <w:b w:val="1"/>
          <w:bCs w:val="1"/>
          <w:color w:val="auto"/>
          <w:sz w:val="22"/>
          <w:szCs w:val="22"/>
        </w:rPr>
      </w:pPr>
    </w:p>
    <w:p w:rsidR="248950B7" w:rsidP="39BC363E" w:rsidRDefault="248950B7" w14:paraId="3AA59B20" w14:textId="6187335D">
      <w:pPr>
        <w:rPr>
          <w:rFonts w:ascii="Times New Roman" w:hAnsi="Times New Roman" w:eastAsia="Times New Roman" w:cs="Times New Roman"/>
          <w:sz w:val="22"/>
          <w:szCs w:val="22"/>
        </w:rPr>
      </w:pPr>
      <w:r w:rsidRPr="39BC363E">
        <w:rPr>
          <w:rFonts w:ascii="Times New Roman" w:hAnsi="Times New Roman" w:eastAsia="Times New Roman" w:cs="Times New Roman"/>
          <w:sz w:val="22"/>
          <w:szCs w:val="22"/>
        </w:rPr>
        <w:br w:type="page"/>
      </w:r>
    </w:p>
    <w:p w:rsidRPr="008B5D29" w:rsidR="005A42E1" w:rsidP="39BC363E" w:rsidRDefault="005A42E1" w14:paraId="01644F31" w14:textId="77777777">
      <w:pPr>
        <w:jc w:val="center"/>
        <w:rPr>
          <w:rFonts w:ascii="Times New Roman" w:hAnsi="Times New Roman" w:eastAsia="Times New Roman" w:cs="Times New Roman"/>
          <w:sz w:val="22"/>
          <w:szCs w:val="22"/>
        </w:rPr>
      </w:pPr>
      <w:r w:rsidRPr="39BC363E" w:rsidR="005A42E1">
        <w:rPr>
          <w:rFonts w:ascii="Times New Roman" w:hAnsi="Times New Roman" w:eastAsia="Times New Roman" w:cs="Times New Roman"/>
          <w:b w:val="1"/>
          <w:bCs w:val="1"/>
          <w:sz w:val="22"/>
          <w:szCs w:val="22"/>
        </w:rPr>
        <w:t>ANHANG 2 ZU ANLAGE 2 – TECHNISCHE UND ORGANISATORISCHE MASSNAHMEN</w:t>
      </w:r>
    </w:p>
    <w:p w:rsidRPr="008B5D29" w:rsidR="005A42E1" w:rsidP="39BC363E" w:rsidRDefault="005A42E1" w14:paraId="003EBA62" w14:textId="31BC99C6">
      <w:pPr>
        <w:rPr>
          <w:rFonts w:ascii="Times New Roman" w:hAnsi="Times New Roman" w:eastAsia="Times New Roman" w:cs="Times New Roman"/>
          <w:i w:val="1"/>
          <w:iCs w:val="1"/>
          <w:spacing w:val="-4"/>
          <w:sz w:val="22"/>
          <w:szCs w:val="22"/>
        </w:rPr>
      </w:pPr>
      <w:r w:rsidRPr="39BC363E" w:rsidR="005A42E1">
        <w:rPr>
          <w:rFonts w:ascii="Times New Roman" w:hAnsi="Times New Roman" w:eastAsia="Times New Roman" w:cs="Times New Roman"/>
          <w:color w:val="000000" w:themeColor="text1"/>
          <w:spacing w:val="-4"/>
          <w:sz w:val="22"/>
          <w:szCs w:val="22"/>
        </w:rPr>
        <w:t>Siehe Anhang 1 der JCA, dem diese Klauseln beigefügt sind. Darüber hinaus stellt der Datenimporteur sicher, dass alle personenbezogenen Daten pseudonymisiert und gegebenenfalls verschlüsselt werden. Außerdem garantieren der Datenimporteur und seine verbundenen Unternehmen, wenn sie eine Anfrage von einer Regierungsbehörde in Bezug auf die personenbezogenen Daten erhalten, die Gegenstand dieser Klauseln sind, dass (i) Zugriffsforderungen von Nachrichtendiensten oder ähnlichen Behörden in den USA oder anderswo auf die in Anhang 1B beschriebenen personenbezogenen Daten und (ii) jede „Offenlegungsplicht</w:t>
      </w:r>
      <w:r w:rsidRPr="39BC363E" w:rsidR="00CC797F">
        <w:rPr>
          <w:rFonts w:ascii="Times New Roman" w:hAnsi="Times New Roman" w:eastAsia="Times New Roman" w:cs="Times New Roman"/>
          <w:sz w:val="22"/>
          <w:szCs w:val="22"/>
        </w:rPr>
        <w:t>“</w:t>
      </w:r>
      <w:r w:rsidRPr="39BC363E" w:rsidR="005A42E1">
        <w:rPr>
          <w:rFonts w:ascii="Times New Roman" w:hAnsi="Times New Roman" w:eastAsia="Times New Roman" w:cs="Times New Roman"/>
          <w:color w:val="000000" w:themeColor="text1"/>
          <w:spacing w:val="-4"/>
          <w:sz w:val="22"/>
          <w:szCs w:val="22"/>
        </w:rPr>
        <w:t xml:space="preserve"> betreffend diese Daten vom Datenimporteur und seinen verbundenen Unternehmen in Übereinstimmung mit den geltenden Gesetzen und Vorschriften vor der Extraktion angefochten werden.</w:t>
      </w:r>
      <w:r w:rsidRPr="39BC363E" w:rsidR="005A42E1">
        <w:rPr>
          <w:rFonts w:ascii="Times New Roman" w:hAnsi="Times New Roman" w:eastAsia="Times New Roman" w:cs="Times New Roman"/>
          <w:i w:val="1"/>
          <w:iCs w:val="1"/>
          <w:spacing w:val="-4"/>
          <w:sz w:val="22"/>
          <w:szCs w:val="22"/>
        </w:rPr>
        <w:t xml:space="preserve"> </w:t>
      </w:r>
    </w:p>
    <w:p w:rsidR="00DF28BA" w:rsidP="39BC363E" w:rsidRDefault="00DF28BA" w14:paraId="2E30C11F" w14:textId="7D8D08A5">
      <w:pPr>
        <w:jc w:val="center"/>
        <w:rPr>
          <w:rFonts w:ascii="Times New Roman" w:hAnsi="Times New Roman" w:eastAsia="Times New Roman" w:cs="Times New Roman"/>
          <w:b w:val="1"/>
          <w:bCs w:val="1"/>
          <w:noProof/>
          <w:sz w:val="22"/>
          <w:szCs w:val="22"/>
        </w:rPr>
      </w:pPr>
      <w:r w:rsidRPr="39BC363E" w:rsidR="00DF28BA">
        <w:rPr>
          <w:rFonts w:ascii="Times New Roman" w:hAnsi="Times New Roman" w:eastAsia="Times New Roman" w:cs="Times New Roman"/>
          <w:b w:val="1"/>
          <w:bCs w:val="1"/>
          <w:sz w:val="22"/>
          <w:szCs w:val="22"/>
        </w:rPr>
        <w:t>ANHANG 3</w:t>
      </w:r>
    </w:p>
    <w:p w:rsidRPr="008B5D29" w:rsidR="004A5FFF" w:rsidP="39BC363E" w:rsidRDefault="004A5FFF" w14:paraId="13E4A58D" w14:textId="2A390297">
      <w:pPr>
        <w:pStyle w:val="Default"/>
        <w:jc w:val="center"/>
        <w:rPr>
          <w:rFonts w:ascii="Times New Roman" w:hAnsi="Times New Roman" w:eastAsia="Times New Roman" w:cs="Times New Roman"/>
          <w:b w:val="1"/>
          <w:bCs w:val="1"/>
          <w:noProof/>
          <w:sz w:val="22"/>
          <w:szCs w:val="22"/>
        </w:rPr>
      </w:pPr>
      <w:r w:rsidRPr="39BC363E" w:rsidR="004A5FFF">
        <w:rPr>
          <w:rFonts w:ascii="Times New Roman" w:hAnsi="Times New Roman" w:eastAsia="Times New Roman" w:cs="Times New Roman"/>
          <w:b w:val="1"/>
          <w:bCs w:val="1"/>
          <w:sz w:val="22"/>
          <w:szCs w:val="22"/>
        </w:rPr>
        <w:t>Zusätzliche gesetzliche Anforderungen auf Staats-, Landes-, Regional- und Provinzebene</w:t>
      </w:r>
    </w:p>
    <w:p w:rsidRPr="008B5D29" w:rsidR="00DF28BA" w:rsidP="39BC363E" w:rsidRDefault="00DF28BA" w14:paraId="1F6D9343" w14:textId="77777777">
      <w:pPr>
        <w:spacing w:before="240" w:after="240" w:line="240" w:lineRule="auto"/>
        <w:contextualSpacing/>
        <w:rPr>
          <w:rFonts w:ascii="Times New Roman" w:hAnsi="Times New Roman" w:eastAsia="Times New Roman" w:cs="Times New Roman"/>
          <w:b w:val="1"/>
          <w:bCs w:val="1"/>
          <w:noProof/>
          <w:sz w:val="22"/>
          <w:szCs w:val="22"/>
        </w:rPr>
      </w:pPr>
    </w:p>
    <w:p w:rsidRPr="008B5D29" w:rsidR="00DF28BA" w:rsidP="39BC363E" w:rsidRDefault="00DF28BA" w14:paraId="49B73261" w14:textId="77777777">
      <w:pPr>
        <w:spacing w:before="120" w:after="120" w:line="240" w:lineRule="auto"/>
        <w:rPr>
          <w:rFonts w:ascii="Times New Roman" w:hAnsi="Times New Roman" w:eastAsia="Times New Roman" w:cs="Times New Roman"/>
          <w:b w:val="1"/>
          <w:bCs w:val="1"/>
          <w:noProof/>
          <w:sz w:val="22"/>
          <w:szCs w:val="22"/>
        </w:rPr>
      </w:pPr>
      <w:r w:rsidRPr="39BC363E" w:rsidR="00DF28BA">
        <w:rPr>
          <w:rFonts w:ascii="Times New Roman" w:hAnsi="Times New Roman" w:eastAsia="Times New Roman" w:cs="Times New Roman"/>
          <w:b w:val="1"/>
          <w:bCs w:val="1"/>
          <w:sz w:val="22"/>
          <w:szCs w:val="22"/>
        </w:rPr>
        <w:t xml:space="preserve">ERGÄNZUNG FÜR DAS VEREINIGTE KÖNIGREICH: Data </w:t>
      </w:r>
      <w:r w:rsidRPr="39BC363E" w:rsidR="00DF28BA">
        <w:rPr>
          <w:rFonts w:ascii="Times New Roman" w:hAnsi="Times New Roman" w:eastAsia="Times New Roman" w:cs="Times New Roman"/>
          <w:b w:val="1"/>
          <w:bCs w:val="1"/>
          <w:sz w:val="22"/>
          <w:szCs w:val="22"/>
        </w:rPr>
        <w:t>Protection</w:t>
      </w:r>
      <w:r w:rsidRPr="39BC363E" w:rsidR="00DF28BA">
        <w:rPr>
          <w:rFonts w:ascii="Times New Roman" w:hAnsi="Times New Roman" w:eastAsia="Times New Roman" w:cs="Times New Roman"/>
          <w:b w:val="1"/>
          <w:bCs w:val="1"/>
          <w:sz w:val="22"/>
          <w:szCs w:val="22"/>
        </w:rPr>
        <w:t xml:space="preserve"> Act 2018</w:t>
      </w:r>
    </w:p>
    <w:p w:rsidRPr="008B5D29" w:rsidR="00DF28BA" w:rsidP="39BC363E" w:rsidRDefault="00DF28BA" w14:paraId="14148031" w14:textId="64C81E1F">
      <w:pPr>
        <w:spacing w:before="120" w:after="120" w:line="240" w:lineRule="auto"/>
        <w:rPr>
          <w:rFonts w:ascii="Times New Roman" w:hAnsi="Times New Roman" w:eastAsia="Times New Roman" w:cs="Times New Roman"/>
          <w:sz w:val="22"/>
          <w:szCs w:val="22"/>
        </w:rPr>
      </w:pPr>
      <w:r w:rsidRPr="39BC363E" w:rsidR="00DF28BA">
        <w:rPr>
          <w:rFonts w:ascii="Times New Roman" w:hAnsi="Times New Roman" w:eastAsia="Times New Roman" w:cs="Times New Roman"/>
          <w:sz w:val="22"/>
          <w:szCs w:val="22"/>
        </w:rPr>
        <w:t>Dieser Anhang 3 enthält hiermit durch Verweis das Addendum für den internationalen Datentransfer zu</w:t>
      </w:r>
      <w:r w:rsidRPr="39BC363E" w:rsidR="008B5D29">
        <w:rPr>
          <w:rFonts w:ascii="Times New Roman" w:hAnsi="Times New Roman" w:eastAsia="Times New Roman" w:cs="Times New Roman"/>
          <w:sz w:val="22"/>
          <w:szCs w:val="22"/>
        </w:rPr>
        <w:t> </w:t>
      </w:r>
      <w:r w:rsidRPr="39BC363E" w:rsidR="00DF28BA">
        <w:rPr>
          <w:rFonts w:ascii="Times New Roman" w:hAnsi="Times New Roman" w:eastAsia="Times New Roman" w:cs="Times New Roman"/>
          <w:sz w:val="22"/>
          <w:szCs w:val="22"/>
        </w:rPr>
        <w:t>den Standardvertragsklauseln der EU-Kommission, Version B1.0, in der Fassung vom 21. März 2022, und gilt als von allen Vertragsparteien vollständig ausgeführt, so dass alle anwendbaren Übermittlungen gemäß der JCA abgedeckt sind, einschließlich aller obligatorischen Klauseln von Teil 2.</w:t>
      </w:r>
    </w:p>
    <w:p w:rsidRPr="008B5D29" w:rsidR="00DF28BA" w:rsidP="39BC363E" w:rsidRDefault="00DF28BA" w14:paraId="7186A02E" w14:textId="77777777">
      <w:pPr>
        <w:spacing w:before="120" w:after="120" w:line="240" w:lineRule="auto"/>
        <w:rPr>
          <w:rStyle w:val="CommentReference"/>
          <w:rFonts w:ascii="Times New Roman" w:hAnsi="Times New Roman" w:eastAsia="Times New Roman" w:cs="Times New Roman"/>
          <w:sz w:val="22"/>
          <w:szCs w:val="22"/>
        </w:rPr>
      </w:pPr>
    </w:p>
    <w:p w:rsidRPr="008B5D29" w:rsidR="00DF28BA" w:rsidP="39BC363E" w:rsidRDefault="00DF28BA" w14:paraId="54BBF062" w14:textId="77777777">
      <w:pPr>
        <w:spacing w:before="120" w:after="120" w:line="240" w:lineRule="auto"/>
        <w:rPr>
          <w:rStyle w:val="CommentReference"/>
          <w:rFonts w:ascii="Times New Roman" w:hAnsi="Times New Roman" w:eastAsia="Times New Roman" w:cs="Times New Roman"/>
          <w:b w:val="1"/>
          <w:bCs w:val="1"/>
          <w:sz w:val="22"/>
          <w:szCs w:val="22"/>
        </w:rPr>
      </w:pPr>
      <w:r w:rsidRPr="39BC363E" w:rsidR="00DF28BA">
        <w:rPr>
          <w:rStyle w:val="CommentReference"/>
          <w:rFonts w:ascii="Times New Roman" w:hAnsi="Times New Roman" w:eastAsia="Times New Roman" w:cs="Times New Roman"/>
          <w:b w:val="1"/>
          <w:bCs w:val="1"/>
          <w:sz w:val="22"/>
          <w:szCs w:val="22"/>
        </w:rPr>
        <w:t>ERGÄNZUNG FÜR DIE SCHWEIZ: FADP</w:t>
      </w:r>
    </w:p>
    <w:p w:rsidRPr="008B5D29" w:rsidR="00DF28BA" w:rsidP="39BC363E" w:rsidRDefault="00DF28BA" w14:paraId="4901BA31" w14:textId="20FC265E">
      <w:pPr>
        <w:pStyle w:val="ListParagraph"/>
        <w:numPr>
          <w:ilvl w:val="0"/>
          <w:numId w:val="28"/>
        </w:numPr>
        <w:spacing w:before="120" w:after="120"/>
        <w:rPr>
          <w:rFonts w:ascii="Times New Roman" w:hAnsi="Times New Roman" w:eastAsia="Times New Roman" w:cs="Times New Roman"/>
          <w:sz w:val="22"/>
          <w:szCs w:val="22"/>
        </w:rPr>
      </w:pPr>
      <w:r w:rsidRPr="39BC363E" w:rsidR="00DF28BA">
        <w:rPr>
          <w:rFonts w:ascii="Times New Roman" w:hAnsi="Times New Roman" w:eastAsia="Times New Roman" w:cs="Times New Roman"/>
          <w:sz w:val="22"/>
          <w:szCs w:val="22"/>
        </w:rPr>
        <w:t>Soweit die in Anhang 2 beschriebenen Datenübermittlungen dem DSG unterliegen, sind Verweise auf die DSGVO als Verweise auf das Schweizer Bundesdatenschutzgesetz („DSG</w:t>
      </w:r>
      <w:r w:rsidRPr="39BC363E" w:rsidR="00CC797F">
        <w:rPr>
          <w:rFonts w:ascii="Times New Roman" w:hAnsi="Times New Roman" w:eastAsia="Times New Roman" w:cs="Times New Roman"/>
          <w:sz w:val="22"/>
          <w:szCs w:val="22"/>
        </w:rPr>
        <w:t>“</w:t>
      </w:r>
      <w:r w:rsidRPr="39BC363E" w:rsidR="00DF28BA">
        <w:rPr>
          <w:rFonts w:ascii="Times New Roman" w:hAnsi="Times New Roman" w:eastAsia="Times New Roman" w:cs="Times New Roman"/>
          <w:sz w:val="22"/>
          <w:szCs w:val="22"/>
        </w:rPr>
        <w:t>) zu</w:t>
      </w:r>
      <w:r w:rsidRPr="39BC363E" w:rsidR="008B5D29">
        <w:rPr>
          <w:rFonts w:ascii="Times New Roman" w:hAnsi="Times New Roman" w:eastAsia="Times New Roman" w:cs="Times New Roman"/>
          <w:sz w:val="22"/>
          <w:szCs w:val="22"/>
        </w:rPr>
        <w:t> </w:t>
      </w:r>
      <w:r w:rsidRPr="39BC363E" w:rsidR="00DF28BA">
        <w:rPr>
          <w:rFonts w:ascii="Times New Roman" w:hAnsi="Times New Roman" w:eastAsia="Times New Roman" w:cs="Times New Roman"/>
          <w:sz w:val="22"/>
          <w:szCs w:val="22"/>
        </w:rPr>
        <w:t>verstehen.</w:t>
      </w:r>
    </w:p>
    <w:p w:rsidRPr="008B5D29" w:rsidR="00DF28BA" w:rsidP="39BC363E" w:rsidRDefault="00DF28BA" w14:paraId="6250B46D" w14:textId="304FBEEA">
      <w:pPr>
        <w:pStyle w:val="ListParagraph"/>
        <w:numPr>
          <w:ilvl w:val="0"/>
          <w:numId w:val="28"/>
        </w:numPr>
        <w:spacing w:before="120" w:after="120"/>
        <w:rPr>
          <w:rFonts w:ascii="Times New Roman" w:hAnsi="Times New Roman" w:eastAsia="Times New Roman" w:cs="Times New Roman"/>
          <w:sz w:val="22"/>
          <w:szCs w:val="22"/>
        </w:rPr>
      </w:pPr>
      <w:r w:rsidRPr="39BC363E" w:rsidR="00DF28BA">
        <w:rPr>
          <w:rFonts w:ascii="Times New Roman" w:hAnsi="Times New Roman" w:eastAsia="Times New Roman" w:cs="Times New Roman"/>
          <w:sz w:val="22"/>
          <w:szCs w:val="22"/>
        </w:rPr>
        <w:t>Solange das DSG dies vorschreibt, werden die personenbezogenen Daten juristischer Personen im</w:t>
      </w:r>
      <w:r w:rsidRPr="39BC363E" w:rsidR="008B5D29">
        <w:rPr>
          <w:rFonts w:ascii="Times New Roman" w:hAnsi="Times New Roman" w:eastAsia="Times New Roman" w:cs="Times New Roman"/>
          <w:sz w:val="22"/>
          <w:szCs w:val="22"/>
        </w:rPr>
        <w:t> </w:t>
      </w:r>
      <w:r w:rsidRPr="39BC363E" w:rsidR="00DF28BA">
        <w:rPr>
          <w:rFonts w:ascii="Times New Roman" w:hAnsi="Times New Roman" w:eastAsia="Times New Roman" w:cs="Times New Roman"/>
          <w:sz w:val="22"/>
          <w:szCs w:val="22"/>
        </w:rPr>
        <w:t>Sinne dieser Klauseln in gleicher Weise geschützt wie natürliche Personen, die betroffene Personen sind.</w:t>
      </w:r>
    </w:p>
    <w:p w:rsidRPr="008B5D29" w:rsidR="00DF28BA" w:rsidP="39BC363E" w:rsidRDefault="00DF28BA" w14:paraId="4D26B681" w14:textId="77777777">
      <w:pPr>
        <w:pStyle w:val="ListParagraph"/>
        <w:numPr>
          <w:ilvl w:val="0"/>
          <w:numId w:val="28"/>
        </w:numPr>
        <w:spacing w:before="120" w:after="120"/>
        <w:rPr>
          <w:rFonts w:ascii="Times New Roman" w:hAnsi="Times New Roman" w:eastAsia="Times New Roman" w:cs="Times New Roman"/>
          <w:sz w:val="22"/>
          <w:szCs w:val="22"/>
        </w:rPr>
      </w:pPr>
      <w:r w:rsidRPr="39BC363E" w:rsidR="00DF28BA">
        <w:rPr>
          <w:rFonts w:ascii="Times New Roman" w:hAnsi="Times New Roman" w:eastAsia="Times New Roman" w:cs="Times New Roman"/>
          <w:sz w:val="22"/>
          <w:szCs w:val="22"/>
        </w:rPr>
        <w:t>Klausel 13: Parallele Aufsicht</w:t>
      </w:r>
    </w:p>
    <w:p w:rsidRPr="008B5D29" w:rsidR="00DF28BA" w:rsidP="39BC363E" w:rsidRDefault="00DF28BA" w14:paraId="613444D5" w14:textId="4446ABCF">
      <w:pPr>
        <w:pStyle w:val="ListParagraph"/>
        <w:numPr>
          <w:ilvl w:val="1"/>
          <w:numId w:val="28"/>
        </w:numPr>
        <w:spacing w:before="120" w:after="120"/>
        <w:rPr>
          <w:rFonts w:ascii="Times New Roman" w:hAnsi="Times New Roman" w:eastAsia="Times New Roman" w:cs="Times New Roman"/>
          <w:sz w:val="22"/>
          <w:szCs w:val="22"/>
        </w:rPr>
      </w:pPr>
      <w:r w:rsidRPr="39BC363E" w:rsidR="00DF28BA">
        <w:rPr>
          <w:rFonts w:ascii="Times New Roman" w:hAnsi="Times New Roman" w:eastAsia="Times New Roman" w:cs="Times New Roman"/>
          <w:sz w:val="22"/>
          <w:szCs w:val="22"/>
        </w:rPr>
        <w:t>Sofern die Datenübermittlung durch das DSG geregelt ist: ist der Eidgenössische Datenschutz- und Öffentlichkeitsbeauftragte („EDÖB</w:t>
      </w:r>
      <w:r w:rsidRPr="39BC363E" w:rsidR="00CC797F">
        <w:rPr>
          <w:rFonts w:ascii="Times New Roman" w:hAnsi="Times New Roman" w:eastAsia="Times New Roman" w:cs="Times New Roman"/>
          <w:sz w:val="22"/>
          <w:szCs w:val="22"/>
        </w:rPr>
        <w:t>“</w:t>
      </w:r>
      <w:r w:rsidRPr="39BC363E" w:rsidR="00DF28BA">
        <w:rPr>
          <w:rFonts w:ascii="Times New Roman" w:hAnsi="Times New Roman" w:eastAsia="Times New Roman" w:cs="Times New Roman"/>
          <w:sz w:val="22"/>
          <w:szCs w:val="22"/>
        </w:rPr>
        <w:t>) die zuständige Aufsichtsbehörde;</w:t>
      </w:r>
    </w:p>
    <w:p w:rsidRPr="008B5D29" w:rsidR="00DF28BA" w:rsidP="39BC363E" w:rsidRDefault="00DF28BA" w14:paraId="2D4194A5" w14:textId="77777777">
      <w:pPr>
        <w:pStyle w:val="ListParagraph"/>
        <w:numPr>
          <w:ilvl w:val="1"/>
          <w:numId w:val="28"/>
        </w:numPr>
        <w:spacing w:before="120" w:after="120"/>
        <w:rPr>
          <w:rFonts w:ascii="Times New Roman" w:hAnsi="Times New Roman" w:eastAsia="Times New Roman" w:cs="Times New Roman"/>
          <w:sz w:val="22"/>
          <w:szCs w:val="22"/>
        </w:rPr>
      </w:pPr>
      <w:r w:rsidRPr="39BC363E" w:rsidR="00DF28BA">
        <w:rPr>
          <w:rFonts w:ascii="Times New Roman" w:hAnsi="Times New Roman" w:eastAsia="Times New Roman" w:cs="Times New Roman"/>
          <w:sz w:val="22"/>
          <w:szCs w:val="22"/>
        </w:rPr>
        <w:t>Sofern die Datenübermittlung durch die DSGVO geregelt ist: gelten die Kriterien von Klausel 13(a).</w:t>
      </w:r>
    </w:p>
    <w:p w:rsidRPr="008B5D29" w:rsidR="00DF28BA" w:rsidP="39BC363E" w:rsidRDefault="00DF28BA" w14:paraId="47F03BAF" w14:textId="28618470">
      <w:pPr>
        <w:pStyle w:val="ListParagraph"/>
        <w:numPr>
          <w:ilvl w:val="0"/>
          <w:numId w:val="28"/>
        </w:numPr>
        <w:spacing w:before="120" w:after="120"/>
        <w:rPr>
          <w:rFonts w:ascii="Times New Roman" w:hAnsi="Times New Roman" w:eastAsia="Times New Roman" w:cs="Times New Roman"/>
          <w:sz w:val="22"/>
          <w:szCs w:val="22"/>
        </w:rPr>
      </w:pPr>
      <w:r w:rsidRPr="39BC363E" w:rsidR="00DF28BA">
        <w:rPr>
          <w:rFonts w:ascii="Times New Roman" w:hAnsi="Times New Roman" w:eastAsia="Times New Roman" w:cs="Times New Roman"/>
          <w:sz w:val="22"/>
          <w:szCs w:val="22"/>
        </w:rPr>
        <w:t>Klausel 18(c): Wahl des Gerichtsstands und der Gerichtsbarkeit: Eine betroffene Person, die ihren</w:t>
      </w:r>
      <w:r w:rsidRPr="39BC363E" w:rsidR="008B5D29">
        <w:rPr>
          <w:rFonts w:ascii="Times New Roman" w:hAnsi="Times New Roman" w:eastAsia="Times New Roman" w:cs="Times New Roman"/>
          <w:sz w:val="22"/>
          <w:szCs w:val="22"/>
        </w:rPr>
        <w:t> </w:t>
      </w:r>
      <w:r w:rsidRPr="39BC363E" w:rsidR="00DF28BA">
        <w:rPr>
          <w:rFonts w:ascii="Times New Roman" w:hAnsi="Times New Roman" w:eastAsia="Times New Roman" w:cs="Times New Roman"/>
          <w:sz w:val="22"/>
          <w:szCs w:val="22"/>
        </w:rPr>
        <w:t>gewöhnlichen Aufenthalt in der Schweiz hat, kann auch vor den Gerichten der Schweiz gegen den Datenexporteur und/oder Datenimporteur Klage erheben.</w:t>
      </w:r>
    </w:p>
    <w:p w:rsidRPr="008B5D29" w:rsidR="00DF28BA" w:rsidP="39BC363E" w:rsidRDefault="00DF28BA" w14:paraId="662E75D3" w14:textId="77777777">
      <w:pPr>
        <w:pStyle w:val="ListParagraph"/>
        <w:spacing w:before="120" w:after="120"/>
        <w:rPr>
          <w:rFonts w:ascii="Times New Roman" w:hAnsi="Times New Roman" w:eastAsia="Times New Roman" w:cs="Times New Roman"/>
          <w:sz w:val="22"/>
          <w:szCs w:val="22"/>
        </w:rPr>
      </w:pPr>
    </w:p>
    <w:p w:rsidRPr="008B5D29" w:rsidR="00DF28BA" w:rsidP="39BC363E" w:rsidRDefault="00DF28BA" w14:paraId="1F6B03E9" w14:textId="77777777">
      <w:pPr>
        <w:spacing w:before="120" w:after="120" w:line="240" w:lineRule="auto"/>
        <w:rPr>
          <w:rStyle w:val="CommentReference"/>
          <w:rFonts w:ascii="Times New Roman" w:hAnsi="Times New Roman" w:eastAsia="Times New Roman" w:cs="Times New Roman"/>
          <w:b w:val="1"/>
          <w:bCs w:val="1"/>
          <w:sz w:val="22"/>
          <w:szCs w:val="22"/>
        </w:rPr>
      </w:pPr>
      <w:r w:rsidRPr="39BC363E" w:rsidR="00DF28BA">
        <w:rPr>
          <w:rStyle w:val="CommentReference"/>
          <w:rFonts w:ascii="Times New Roman" w:hAnsi="Times New Roman" w:eastAsia="Times New Roman" w:cs="Times New Roman"/>
          <w:b w:val="1"/>
          <w:bCs w:val="1"/>
          <w:sz w:val="22"/>
          <w:szCs w:val="22"/>
        </w:rPr>
        <w:t>ERGÄNZUNG FÜR KANADA: Quebec Law 25</w:t>
      </w:r>
    </w:p>
    <w:p w:rsidRPr="008B5D29" w:rsidR="00012F2C" w:rsidP="39BC363E" w:rsidRDefault="00012F2C" w14:paraId="4E928DF0" w14:textId="7B4E8E50">
      <w:pPr>
        <w:pStyle w:val="ListParagraph"/>
        <w:numPr>
          <w:ilvl w:val="3"/>
          <w:numId w:val="28"/>
        </w:numPr>
        <w:spacing w:before="120" w:after="120"/>
        <w:rPr>
          <w:rStyle w:val="CommentReference"/>
          <w:rFonts w:ascii="Times New Roman" w:hAnsi="Times New Roman" w:eastAsia="Times New Roman" w:cs="Times New Roman"/>
          <w:spacing w:val="-4"/>
          <w:sz w:val="22"/>
          <w:szCs w:val="22"/>
        </w:rPr>
      </w:pPr>
      <w:r w:rsidRPr="39BC363E" w:rsidR="00012F2C">
        <w:rPr>
          <w:rStyle w:val="CommentReference"/>
          <w:rFonts w:ascii="Times New Roman" w:hAnsi="Times New Roman" w:eastAsia="Times New Roman" w:cs="Times New Roman"/>
          <w:spacing w:val="-4"/>
          <w:sz w:val="22"/>
          <w:szCs w:val="22"/>
        </w:rPr>
        <w:t>Jede Mitteilung, die gemäß dieser JCA in Bezug auf eine Verletzung des Schutzes personenbezogener Daten erforderlich ist, und jede ähnliche Mitteilung, die gemäß der Vereinbarung erforderlich ist, ist auch für jedes Ereignis erforderlich, das eine Verletzung oder versuchte Verletzung dieser JCA durch den Anbieter darstellt.</w:t>
      </w:r>
    </w:p>
    <w:p w:rsidRPr="008B5D29" w:rsidR="00012F2C" w:rsidP="39BC363E" w:rsidRDefault="00012F2C" w14:paraId="675C1869" w14:textId="56DD2DDF">
      <w:pPr>
        <w:pStyle w:val="ListParagraph"/>
        <w:numPr>
          <w:ilvl w:val="3"/>
          <w:numId w:val="28"/>
        </w:numPr>
        <w:spacing w:before="120" w:after="120"/>
        <w:rPr>
          <w:rStyle w:val="CommentReference"/>
          <w:rFonts w:ascii="Times New Roman" w:hAnsi="Times New Roman" w:eastAsia="Times New Roman" w:cs="Times New Roman"/>
          <w:sz w:val="22"/>
          <w:szCs w:val="22"/>
        </w:rPr>
      </w:pPr>
      <w:r w:rsidRPr="39BC363E" w:rsidR="00012F2C">
        <w:rPr>
          <w:rStyle w:val="CommentReference"/>
          <w:rFonts w:ascii="Times New Roman" w:hAnsi="Times New Roman" w:eastAsia="Times New Roman" w:cs="Times New Roman"/>
          <w:sz w:val="22"/>
          <w:szCs w:val="22"/>
        </w:rPr>
        <w:t xml:space="preserve">Falls im Zusammenhang mit den Bedingungen dieser JCA die Einholung von Einwilligungen erforderlich ist, muss der Anbieter auch die Nachweise für alle Einwilligungen für drei (3) Jahre nach Beendigung der Vereinbarung </w:t>
      </w:r>
      <w:r w:rsidRPr="39BC363E" w:rsidR="00012F2C">
        <w:rPr>
          <w:rFonts w:ascii="Times New Roman" w:hAnsi="Times New Roman" w:eastAsia="Times New Roman" w:cs="Times New Roman"/>
          <w:sz w:val="22"/>
          <w:szCs w:val="22"/>
        </w:rPr>
        <w:t>aufbewahren.</w:t>
      </w:r>
    </w:p>
    <w:p w:rsidR="39BC363E" w:rsidP="39BC363E" w:rsidRDefault="39BC363E" w14:paraId="597A991C" w14:textId="00E20AFD">
      <w:pPr>
        <w:pStyle w:val="Normal"/>
        <w:spacing w:before="120" w:after="120"/>
        <w:ind w:left="0"/>
        <w:rPr>
          <w:rStyle w:val="CommentReference"/>
          <w:rFonts w:ascii="Times New Roman" w:hAnsi="Times New Roman" w:eastAsia="Times New Roman" w:cs="Times New Roman"/>
          <w:sz w:val="22"/>
          <w:szCs w:val="22"/>
        </w:rPr>
      </w:pPr>
    </w:p>
    <w:p w:rsidR="378925F8" w:rsidP="39BC363E" w:rsidRDefault="378925F8" w14:paraId="3D29ADFB" w14:textId="2D4D42BC">
      <w:pPr>
        <w:spacing w:before="0" w:beforeAutospacing="off" w:after="160" w:afterAutospacing="off" w:line="257" w:lineRule="auto"/>
        <w:rPr>
          <w:rFonts w:ascii="Times New Roman" w:hAnsi="Times New Roman" w:eastAsia="Times New Roman" w:cs="Times New Roman"/>
          <w:b w:val="1"/>
          <w:bCs w:val="1"/>
          <w:noProof w:val="0"/>
          <w:sz w:val="22"/>
          <w:szCs w:val="22"/>
          <w:lang w:val="de"/>
        </w:rPr>
      </w:pPr>
      <w:r w:rsidRPr="39BC363E" w:rsidR="378925F8">
        <w:rPr>
          <w:rFonts w:ascii="Times New Roman" w:hAnsi="Times New Roman" w:eastAsia="Times New Roman" w:cs="Times New Roman"/>
          <w:b w:val="1"/>
          <w:bCs w:val="1"/>
          <w:noProof w:val="0"/>
          <w:sz w:val="22"/>
          <w:szCs w:val="22"/>
          <w:lang w:val="de"/>
        </w:rPr>
        <w:t>ZUSATZVEREINBARUNG DER VEREINIGTEN ARABISCHEN EMIRATE: Bundesgesetz Nr. 45 von 2021 über den Schutz personenbezogener Daten</w:t>
      </w:r>
    </w:p>
    <w:p w:rsidR="378925F8" w:rsidP="39BC363E" w:rsidRDefault="378925F8" w14:paraId="2A83CFE6" w14:textId="50829AC9">
      <w:pPr>
        <w:pStyle w:val="ListParagraph"/>
        <w:numPr>
          <w:ilvl w:val="0"/>
          <w:numId w:val="34"/>
        </w:numPr>
        <w:spacing w:before="0" w:beforeAutospacing="off" w:after="0" w:afterAutospacing="off"/>
        <w:ind w:left="360" w:right="0" w:hanging="360"/>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 xml:space="preserve">Soweit die in Anhang 2 beschriebenen Datenübertragungen dem Bundesgesetz Nr. 45 von 2021 der Vereinigten Arabischen Emirate über den Schutz personenbezogener Daten („PDPL“) unterliegen, gilt Folgendes: Solange und bis das </w:t>
      </w:r>
      <w:r w:rsidRPr="39BC363E" w:rsidR="378925F8">
        <w:rPr>
          <w:rFonts w:ascii="Times New Roman" w:hAnsi="Times New Roman" w:eastAsia="Times New Roman" w:cs="Times New Roman"/>
          <w:noProof w:val="0"/>
          <w:sz w:val="22"/>
          <w:szCs w:val="22"/>
          <w:lang w:val="de-DE"/>
        </w:rPr>
        <w:t>Datenamt</w:t>
      </w:r>
      <w:r w:rsidRPr="39BC363E" w:rsidR="378925F8">
        <w:rPr>
          <w:rFonts w:ascii="Times New Roman" w:hAnsi="Times New Roman" w:eastAsia="Times New Roman" w:cs="Times New Roman"/>
          <w:noProof w:val="0"/>
          <w:sz w:val="22"/>
          <w:szCs w:val="22"/>
          <w:lang w:val="de-DE"/>
        </w:rPr>
        <w:t xml:space="preserve"> der VAE eigene Standardvertragsklauseln erlässt, um die Übermittlung personenbezogener Daten außerhalb der Vereinigten Arabischen Emirate zu legitimieren, und die Parteien solche Standardvertragsklauseln abgeschlossen haben, vereinbaren die Parteien, dass die dem Anhang 2 beigefügten Standardvertragsklauseln mutatis mutandis in Bezug auf solche Übertragungen gelten, um angemessene Sicherheitsvorkehrungen für die personenbezogenen Daten und die betroffenen Personen zu gewährleisten. Zu diesem Zweck: a. Verweise auf die „Verordnung (EU) 2016/679“, die „Verordnung (EU) 2016/679 des Europäischen Parlaments und des Rates vom 27. April 2016 zum Schutz natürlicher Personen bei der Verarbeitung personenbezogener Daten und zum freien Datenverkehr (Allgemeine Datenschutzverordnung)“ und „diese Verordnung“ werden durch „PDPL“ ersetzt. b. Verweise auf spezifische Artikel der „Verordnung (EU) 2016/679“ werden durch die entsprechenden Artikel oder Abschnitte der PDPL ersetzt. c. Verweise auf die „Europäische Union“, „Union“, „EU“, „EU-Mitgliedstaat“, „Mitgliedstaat“ und „EU oder Mitgliedstaat“ werden alle durch die „Vereinigten Arabischen Emirate“ ersetzt. d. Die „zuständige Aufsichtsbehörde“ und die „Aufsichtsbehörde“ werden beide durch das „</w:t>
      </w:r>
      <w:r w:rsidRPr="39BC363E" w:rsidR="378925F8">
        <w:rPr>
          <w:rFonts w:ascii="Times New Roman" w:hAnsi="Times New Roman" w:eastAsia="Times New Roman" w:cs="Times New Roman"/>
          <w:noProof w:val="0"/>
          <w:sz w:val="22"/>
          <w:szCs w:val="22"/>
          <w:lang w:val="de-DE"/>
        </w:rPr>
        <w:t>Datenamt</w:t>
      </w:r>
      <w:r w:rsidRPr="39BC363E" w:rsidR="378925F8">
        <w:rPr>
          <w:rFonts w:ascii="Times New Roman" w:hAnsi="Times New Roman" w:eastAsia="Times New Roman" w:cs="Times New Roman"/>
          <w:noProof w:val="0"/>
          <w:sz w:val="22"/>
          <w:szCs w:val="22"/>
          <w:lang w:val="de-DE"/>
        </w:rPr>
        <w:t xml:space="preserve">“ ersetzt. e. Jede Streitigkeit aus den Standardvertragsklauseln unterliegt den Gesetzen der Vereinigten Arabischen Emirate und wird von den Gerichten der Vereinigten Arabischen Emirate entschieden. Die Parteien vereinbaren, sich der Zuständigkeit dieser Gerichte zu unterwerfen. f. Im Falle eines Widerspruchs oder Konflikts zwischen der PDPL und den dem Anhang 2 beigefügten Standardvertragsklauseln gilt die PDPL. g. Wenn der </w:t>
      </w:r>
      <w:r w:rsidRPr="39BC363E" w:rsidR="378925F8">
        <w:rPr>
          <w:rFonts w:ascii="Times New Roman" w:hAnsi="Times New Roman" w:eastAsia="Times New Roman" w:cs="Times New Roman"/>
          <w:noProof w:val="0"/>
          <w:sz w:val="22"/>
          <w:szCs w:val="22"/>
          <w:lang w:val="de-DE"/>
        </w:rPr>
        <w:t>Inhalt</w:t>
      </w:r>
      <w:r w:rsidRPr="39BC363E" w:rsidR="378925F8">
        <w:rPr>
          <w:rFonts w:ascii="Times New Roman" w:hAnsi="Times New Roman" w:eastAsia="Times New Roman" w:cs="Times New Roman"/>
          <w:noProof w:val="0"/>
          <w:sz w:val="22"/>
          <w:szCs w:val="22"/>
          <w:lang w:val="de-DE"/>
        </w:rPr>
        <w:t xml:space="preserve"> der dem Anhang 2 beigefügten Standardvertragsklauseln unklar ist, soweit er auf Übertragungen personenbezogener Daten außerhalb der VAE anwendbar ist, oder es mehrere Bedeutungen gibt, gilt die Bedeutung, die am ehesten mit der PDPL übereinstimmt.</w:t>
      </w:r>
    </w:p>
    <w:p w:rsidR="378925F8" w:rsidP="39BC363E" w:rsidRDefault="378925F8" w14:paraId="5D63877A" w14:textId="67924303">
      <w:pPr>
        <w:pStyle w:val="ListParagraph"/>
        <w:numPr>
          <w:ilvl w:val="0"/>
          <w:numId w:val="34"/>
        </w:numPr>
        <w:spacing w:before="0" w:beforeAutospacing="off" w:after="0" w:afterAutospacing="off"/>
        <w:ind w:left="360" w:right="0" w:hanging="360"/>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 xml:space="preserve">Wenn das </w:t>
      </w:r>
      <w:r w:rsidRPr="39BC363E" w:rsidR="378925F8">
        <w:rPr>
          <w:rFonts w:ascii="Times New Roman" w:hAnsi="Times New Roman" w:eastAsia="Times New Roman" w:cs="Times New Roman"/>
          <w:noProof w:val="0"/>
          <w:sz w:val="22"/>
          <w:szCs w:val="22"/>
          <w:lang w:val="de-DE"/>
        </w:rPr>
        <w:t>Datenamt</w:t>
      </w:r>
      <w:r w:rsidRPr="39BC363E" w:rsidR="378925F8">
        <w:rPr>
          <w:rFonts w:ascii="Times New Roman" w:hAnsi="Times New Roman" w:eastAsia="Times New Roman" w:cs="Times New Roman"/>
          <w:noProof w:val="0"/>
          <w:sz w:val="22"/>
          <w:szCs w:val="22"/>
          <w:lang w:val="de-DE"/>
        </w:rPr>
        <w:t xml:space="preserve"> der VAE eigene Standardvertragsklauseln erlässt, um die Übermittlung personenbezogener Daten außerhalb der Vereinigten Arabischen Emirate zu legitimieren, werden die Parteien nach Treu und Glauben verhandeln, um die Standardvertragsklauseln so bald wie möglich zu vereinbaren und umzusetzen. Wenn die Parteien Standardvertragsklauseln gemäß dem vorstehenden Satz abschließen, ersetzen diese Standardvertragsklauseln in Bezug auf Übertragungen personenbezogener Daten, die der PDPL unterliegen, außerhalb der Vereinigten Arabischen Emirate die dem Anhang 2 beigefügten Standardvertragsklauseln als die angemessenen Sicherheitsvorkehrungen, die zur Bereitstellung angemessener Sicherheitsvorkehrungen für die personenbezogenen Daten und die betroffenen Personen in Bezug auf die Übertragungen umgesetzt werden.</w:t>
      </w:r>
    </w:p>
    <w:p w:rsidR="378925F8" w:rsidP="39BC363E" w:rsidRDefault="378925F8" w14:paraId="2514D801" w14:textId="0CB4458A">
      <w:pPr>
        <w:pStyle w:val="ListParagraph"/>
        <w:numPr>
          <w:ilvl w:val="0"/>
          <w:numId w:val="34"/>
        </w:numPr>
        <w:spacing w:before="0" w:beforeAutospacing="off" w:after="0" w:afterAutospacing="off"/>
        <w:ind w:left="360" w:right="0" w:hanging="360"/>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 xml:space="preserve">Das Unternehmen kann seine Zustimmung zur </w:t>
      </w:r>
      <w:r w:rsidRPr="39BC363E" w:rsidR="378925F8">
        <w:rPr>
          <w:rFonts w:ascii="Times New Roman" w:hAnsi="Times New Roman" w:eastAsia="Times New Roman" w:cs="Times New Roman"/>
          <w:noProof w:val="0"/>
          <w:sz w:val="22"/>
          <w:szCs w:val="22"/>
          <w:lang w:val="de-DE"/>
        </w:rPr>
        <w:t>Bindung</w:t>
      </w:r>
      <w:r w:rsidRPr="39BC363E" w:rsidR="378925F8">
        <w:rPr>
          <w:rFonts w:ascii="Times New Roman" w:hAnsi="Times New Roman" w:eastAsia="Times New Roman" w:cs="Times New Roman"/>
          <w:noProof w:val="0"/>
          <w:sz w:val="22"/>
          <w:szCs w:val="22"/>
          <w:lang w:val="de-DE"/>
        </w:rPr>
        <w:t xml:space="preserve"> an die dem Anhang 2 beigefügten Standardvertragsklauseln durch schriftliche Mitteilung an den Lieferanten widerrufen, wenn das </w:t>
      </w:r>
      <w:r w:rsidRPr="39BC363E" w:rsidR="378925F8">
        <w:rPr>
          <w:rFonts w:ascii="Times New Roman" w:hAnsi="Times New Roman" w:eastAsia="Times New Roman" w:cs="Times New Roman"/>
          <w:noProof w:val="0"/>
          <w:sz w:val="22"/>
          <w:szCs w:val="22"/>
          <w:lang w:val="de-DE"/>
        </w:rPr>
        <w:t>Datenamt</w:t>
      </w:r>
      <w:r w:rsidRPr="39BC363E" w:rsidR="378925F8">
        <w:rPr>
          <w:rFonts w:ascii="Times New Roman" w:hAnsi="Times New Roman" w:eastAsia="Times New Roman" w:cs="Times New Roman"/>
          <w:noProof w:val="0"/>
          <w:sz w:val="22"/>
          <w:szCs w:val="22"/>
          <w:lang w:val="de-DE"/>
        </w:rPr>
        <w:t xml:space="preserve"> eine Angemessenheitsentscheidung trifft, die die Übermittlung personenbezogener Daten abdeckt, auf die die Standardvertragsklauseln Anwendung finden, oder wenn das Unternehmen anderweitig feststellt, dass andere angemessene Sicherheitsvorkehrungen in Bezug auf die Übermittlung gelten. Ab dem Datum einer solchen Mitteilung des Unternehmens gemäß dem vorstehenden Satz gelten die dem Anhang 2 beigefügten Standardvertragsklauseln nicht mehr für Übertragungen personenbezogener Daten, die der PDPL unterliegen, außerhalb der Vereinigten Arabischen Emirate.</w:t>
      </w:r>
    </w:p>
    <w:p w:rsidR="378925F8" w:rsidP="39BC363E" w:rsidRDefault="378925F8" w14:paraId="28037F54" w14:textId="3051AE6D">
      <w:pPr>
        <w:spacing w:before="240" w:beforeAutospacing="off" w:after="240" w:afterAutospacing="off"/>
        <w:rPr>
          <w:rFonts w:ascii="Times New Roman" w:hAnsi="Times New Roman" w:eastAsia="Times New Roman" w:cs="Times New Roman"/>
          <w:b w:val="1"/>
          <w:bCs w:val="1"/>
          <w:noProof w:val="0"/>
          <w:sz w:val="22"/>
          <w:szCs w:val="22"/>
          <w:lang w:val="de-DE"/>
        </w:rPr>
      </w:pPr>
      <w:r w:rsidRPr="39BC363E" w:rsidR="378925F8">
        <w:rPr>
          <w:rFonts w:ascii="Times New Roman" w:hAnsi="Times New Roman" w:eastAsia="Times New Roman" w:cs="Times New Roman"/>
          <w:b w:val="1"/>
          <w:bCs w:val="1"/>
          <w:noProof w:val="0"/>
          <w:sz w:val="22"/>
          <w:szCs w:val="22"/>
          <w:lang w:val="de-DE"/>
        </w:rPr>
        <w:t>BRASILIEN-ANHANG: LGPD - Standardvertragsklauseln</w:t>
      </w:r>
    </w:p>
    <w:p w:rsidR="378925F8" w:rsidP="39BC363E" w:rsidRDefault="378925F8" w14:paraId="2403162B" w14:textId="69942276">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 xml:space="preserve">Die brasilianischen Standardvertragsklauseln ("SCCs") gemäß dem Allgemeinen Datenschutzgesetz (Lei </w:t>
      </w:r>
      <w:r w:rsidRPr="39BC363E" w:rsidR="378925F8">
        <w:rPr>
          <w:rFonts w:ascii="Times New Roman" w:hAnsi="Times New Roman" w:eastAsia="Times New Roman" w:cs="Times New Roman"/>
          <w:noProof w:val="0"/>
          <w:sz w:val="22"/>
          <w:szCs w:val="22"/>
          <w:lang w:val="de-DE"/>
        </w:rPr>
        <w:t>Geral</w:t>
      </w:r>
      <w:r w:rsidRPr="39BC363E" w:rsidR="378925F8">
        <w:rPr>
          <w:rFonts w:ascii="Times New Roman" w:hAnsi="Times New Roman" w:eastAsia="Times New Roman" w:cs="Times New Roman"/>
          <w:noProof w:val="0"/>
          <w:sz w:val="22"/>
          <w:szCs w:val="22"/>
          <w:lang w:val="de-DE"/>
        </w:rPr>
        <w:t xml:space="preserve"> de </w:t>
      </w:r>
      <w:r w:rsidRPr="39BC363E" w:rsidR="378925F8">
        <w:rPr>
          <w:rFonts w:ascii="Times New Roman" w:hAnsi="Times New Roman" w:eastAsia="Times New Roman" w:cs="Times New Roman"/>
          <w:noProof w:val="0"/>
          <w:sz w:val="22"/>
          <w:szCs w:val="22"/>
          <w:lang w:val="de-DE"/>
        </w:rPr>
        <w:t>Proteção</w:t>
      </w:r>
      <w:r w:rsidRPr="39BC363E" w:rsidR="378925F8">
        <w:rPr>
          <w:rFonts w:ascii="Times New Roman" w:hAnsi="Times New Roman" w:eastAsia="Times New Roman" w:cs="Times New Roman"/>
          <w:noProof w:val="0"/>
          <w:sz w:val="22"/>
          <w:szCs w:val="22"/>
          <w:lang w:val="de-DE"/>
        </w:rPr>
        <w:t xml:space="preserve"> de </w:t>
      </w:r>
      <w:r w:rsidRPr="39BC363E" w:rsidR="378925F8">
        <w:rPr>
          <w:rFonts w:ascii="Times New Roman" w:hAnsi="Times New Roman" w:eastAsia="Times New Roman" w:cs="Times New Roman"/>
          <w:noProof w:val="0"/>
          <w:sz w:val="22"/>
          <w:szCs w:val="22"/>
          <w:lang w:val="de-DE"/>
        </w:rPr>
        <w:t>Dados</w:t>
      </w:r>
      <w:r w:rsidRPr="39BC363E" w:rsidR="378925F8">
        <w:rPr>
          <w:rFonts w:ascii="Times New Roman" w:hAnsi="Times New Roman" w:eastAsia="Times New Roman" w:cs="Times New Roman"/>
          <w:noProof w:val="0"/>
          <w:sz w:val="22"/>
          <w:szCs w:val="22"/>
          <w:lang w:val="de-DE"/>
        </w:rPr>
        <w:t xml:space="preserve"> – “LGPD”) sind einzuhalten, wenn Daten von brasilianischen Einwohnern verarbeitet werden, oder wenn eine Datenübertragung deren Anwendung erforderlich macht. Die Parteien stimmen zu, die SCCs in ihrer Gesamtheit zu übernehmen, wie sie von der brasilianischen Datenschutzbehörde (“ANPD”) herausgegeben wurden, es sei denn, sie werden gemäß den in den Klauseln ausdrücklich erlaubten Bedingungen geändert. Solche SCCs sind durch Bezugnahme in das Abkommen aufgenommen, wobei die folgenden Optionen ausgewählt wurden, wenn mehr als eine Textoption vorliegt:</w:t>
      </w:r>
    </w:p>
    <w:p w:rsidR="378925F8" w:rsidP="39BC363E" w:rsidRDefault="378925F8" w14:paraId="4443ED6A" w14:textId="53B05368">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OPTION B wird für Abschnitt 3.1 gewählt. Der Importeur kann eine Weiterübertragung personenbezogener Daten im Rahmen der internationalen Datenübertragung gemäß diesen Klauseln vornehmen, unter den nachstehend beschriebenen Bedingungen und den Bestimmungen der KLAUSEL 18.</w:t>
      </w:r>
    </w:p>
    <w:p w:rsidR="378925F8" w:rsidP="39BC363E" w:rsidRDefault="378925F8" w14:paraId="5BC63452" w14:textId="468B3B69">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OPTION A wird für Abschnitt 4.1 gewählt. Unbeschadet der Pflicht zur gegenseitigen Unterstützung und der allgemeinen Verpflichtungen der Parteien ist die unten bezeichnete Partei hauptsächlich dafür verantwortlich, die in diesen Klauseln festgelegten Verpflichtungen einzuhalten:</w:t>
      </w:r>
    </w:p>
    <w:p w:rsidR="378925F8" w:rsidP="39BC363E" w:rsidRDefault="378925F8" w14:paraId="5C350C8E" w14:textId="1CF2F3AA">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a) Verantwortlich für die Veröffentlichung des in KLAUSEL 14 vorgesehenen Dokuments:</w:t>
      </w:r>
    </w:p>
    <w:p w:rsidR="378925F8" w:rsidP="39BC363E" w:rsidRDefault="378925F8" w14:paraId="7DD0B7C6" w14:textId="69BD442B">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 xml:space="preserve">[x] Exporteur </w:t>
      </w:r>
      <w:r w:rsidRPr="39BC363E" w:rsidR="378925F8">
        <w:rPr>
          <w:rFonts w:ascii="Times New Roman" w:hAnsi="Times New Roman" w:eastAsia="Times New Roman" w:cs="Times New Roman"/>
          <w:noProof w:val="0"/>
          <w:sz w:val="22"/>
          <w:szCs w:val="22"/>
          <w:lang w:val="de-DE"/>
        </w:rPr>
        <w:t>[ ]</w:t>
      </w:r>
      <w:r w:rsidRPr="39BC363E" w:rsidR="378925F8">
        <w:rPr>
          <w:rFonts w:ascii="Times New Roman" w:hAnsi="Times New Roman" w:eastAsia="Times New Roman" w:cs="Times New Roman"/>
          <w:noProof w:val="0"/>
          <w:sz w:val="22"/>
          <w:szCs w:val="22"/>
          <w:lang w:val="de-DE"/>
        </w:rPr>
        <w:t xml:space="preserve"> Importeur</w:t>
      </w:r>
    </w:p>
    <w:p w:rsidR="378925F8" w:rsidP="39BC363E" w:rsidRDefault="378925F8" w14:paraId="114CA5B0" w14:textId="79BA4876">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b) Verantwortlich für die Bearbeitung von Anfragen der betroffenen Personen gemäß KLAUSEL 15:</w:t>
      </w:r>
    </w:p>
    <w:p w:rsidR="378925F8" w:rsidP="39BC363E" w:rsidRDefault="378925F8" w14:paraId="1917A06B" w14:textId="19461896">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 xml:space="preserve">[x] Exporteur </w:t>
      </w:r>
      <w:r w:rsidRPr="39BC363E" w:rsidR="378925F8">
        <w:rPr>
          <w:rFonts w:ascii="Times New Roman" w:hAnsi="Times New Roman" w:eastAsia="Times New Roman" w:cs="Times New Roman"/>
          <w:noProof w:val="0"/>
          <w:sz w:val="22"/>
          <w:szCs w:val="22"/>
          <w:lang w:val="de-DE"/>
        </w:rPr>
        <w:t>[ ]</w:t>
      </w:r>
      <w:r w:rsidRPr="39BC363E" w:rsidR="378925F8">
        <w:rPr>
          <w:rFonts w:ascii="Times New Roman" w:hAnsi="Times New Roman" w:eastAsia="Times New Roman" w:cs="Times New Roman"/>
          <w:noProof w:val="0"/>
          <w:sz w:val="22"/>
          <w:szCs w:val="22"/>
          <w:lang w:val="de-DE"/>
        </w:rPr>
        <w:t xml:space="preserve"> Importeur</w:t>
      </w:r>
    </w:p>
    <w:p w:rsidR="378925F8" w:rsidP="39BC363E" w:rsidRDefault="378925F8" w14:paraId="271CA59A" w14:textId="3B1D3408">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c) Verantwortlich für die Meldung des in KLAUSEL 16 vorgesehenen Sicherheitsvorfalls:</w:t>
      </w:r>
    </w:p>
    <w:p w:rsidR="378925F8" w:rsidP="39BC363E" w:rsidRDefault="378925F8" w14:paraId="162048CC" w14:textId="29DF9CBD">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 xml:space="preserve">[x] Exporteur </w:t>
      </w:r>
      <w:r w:rsidRPr="39BC363E" w:rsidR="378925F8">
        <w:rPr>
          <w:rFonts w:ascii="Times New Roman" w:hAnsi="Times New Roman" w:eastAsia="Times New Roman" w:cs="Times New Roman"/>
          <w:noProof w:val="0"/>
          <w:sz w:val="22"/>
          <w:szCs w:val="22"/>
          <w:lang w:val="de-DE"/>
        </w:rPr>
        <w:t>[ ]</w:t>
      </w:r>
      <w:r w:rsidRPr="39BC363E" w:rsidR="378925F8">
        <w:rPr>
          <w:rFonts w:ascii="Times New Roman" w:hAnsi="Times New Roman" w:eastAsia="Times New Roman" w:cs="Times New Roman"/>
          <w:noProof w:val="0"/>
          <w:sz w:val="22"/>
          <w:szCs w:val="22"/>
          <w:lang w:val="de-DE"/>
        </w:rPr>
        <w:t xml:space="preserve"> Importeur</w:t>
      </w:r>
    </w:p>
    <w:p w:rsidR="378925F8" w:rsidP="39BC363E" w:rsidRDefault="378925F8" w14:paraId="6926F461" w14:textId="10C46FA7">
      <w:pPr>
        <w:spacing w:before="240" w:beforeAutospacing="off" w:after="240" w:afterAutospacing="off"/>
        <w:rPr>
          <w:rFonts w:ascii="Times New Roman" w:hAnsi="Times New Roman" w:eastAsia="Times New Roman" w:cs="Times New Roman"/>
          <w:b w:val="1"/>
          <w:bCs w:val="1"/>
          <w:noProof w:val="0"/>
          <w:sz w:val="22"/>
          <w:szCs w:val="22"/>
          <w:lang w:val="de-DE"/>
        </w:rPr>
      </w:pPr>
      <w:r w:rsidRPr="39BC363E" w:rsidR="378925F8">
        <w:rPr>
          <w:rFonts w:ascii="Times New Roman" w:hAnsi="Times New Roman" w:eastAsia="Times New Roman" w:cs="Times New Roman"/>
          <w:b w:val="1"/>
          <w:bCs w:val="1"/>
          <w:noProof w:val="0"/>
          <w:sz w:val="22"/>
          <w:szCs w:val="22"/>
          <w:lang w:val="de-DE"/>
        </w:rPr>
        <w:t>SAUDI-ARABIEN-ANHANG: PDPL - Standardvertragsklauseln</w:t>
      </w:r>
    </w:p>
    <w:p w:rsidR="378925F8" w:rsidP="39BC363E" w:rsidRDefault="378925F8" w14:paraId="7F922E0A" w14:textId="5515B712">
      <w:pPr>
        <w:spacing w:before="240" w:beforeAutospacing="off" w:after="240" w:afterAutospacing="off"/>
        <w:rPr>
          <w:rFonts w:ascii="Times New Roman" w:hAnsi="Times New Roman" w:eastAsia="Times New Roman" w:cs="Times New Roman"/>
          <w:noProof w:val="0"/>
          <w:sz w:val="22"/>
          <w:szCs w:val="22"/>
          <w:lang w:val="de-DE"/>
        </w:rPr>
      </w:pPr>
      <w:r w:rsidRPr="39BC363E" w:rsidR="378925F8">
        <w:rPr>
          <w:rFonts w:ascii="Times New Roman" w:hAnsi="Times New Roman" w:eastAsia="Times New Roman" w:cs="Times New Roman"/>
          <w:noProof w:val="0"/>
          <w:sz w:val="22"/>
          <w:szCs w:val="22"/>
          <w:lang w:val="de-DE"/>
        </w:rPr>
        <w:t>Die saudi-arabischen Standardvertragsklauseln („SCCs“) gemäß dem Datenschutzgesetz („PDPL“) sind zu integrieren, wenn Daten von saudischen Einwohnern verarbeitet werden, wenn eine Datenübertragung der saudi-arabischen Gerichtsbarkeit unterliegt oder wenn das saudi-arabische Recht die Einhaltung der saudi-arabischen SCCs erfordert. Die Version der SCCs, die mit dem im Anhang 2 beschriebenen Vorlage-Typ übereinstimmt, ist vollständig anwendbar und wird durch Verweis in das Abkommen aufgenommen.</w:t>
      </w:r>
    </w:p>
    <w:p w:rsidR="39BC363E" w:rsidP="39BC363E" w:rsidRDefault="39BC363E" w14:paraId="440E4315" w14:textId="74B2DD4C">
      <w:pPr>
        <w:pStyle w:val="Normal"/>
        <w:spacing w:before="120" w:after="120"/>
        <w:ind w:left="0"/>
        <w:rPr>
          <w:rStyle w:val="CommentReference"/>
          <w:rFonts w:ascii="Times New Roman" w:hAnsi="Times New Roman" w:eastAsia="Times New Roman" w:cs="Times New Roman"/>
          <w:sz w:val="22"/>
          <w:szCs w:val="22"/>
        </w:rPr>
      </w:pPr>
    </w:p>
    <w:p w:rsidRPr="00F320EA" w:rsidR="002C6459" w:rsidP="39BC363E" w:rsidRDefault="002C6459" w14:paraId="373BACD6" w14:textId="77777777">
      <w:pPr>
        <w:spacing w:before="120" w:after="120" w:line="240" w:lineRule="auto"/>
        <w:rPr>
          <w:rStyle w:val="CommentReference"/>
          <w:rFonts w:ascii="Times New Roman" w:hAnsi="Times New Roman" w:eastAsia="Times New Roman" w:cs="Times New Roman"/>
          <w:sz w:val="22"/>
          <w:szCs w:val="22"/>
        </w:rPr>
      </w:pPr>
    </w:p>
    <w:sectPr w:rsidRPr="00F320EA" w:rsidR="002C6459">
      <w:headerReference w:type="default" r:id="rId2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A0B29" w:rsidP="004324EC" w:rsidRDefault="00DA0B29" w14:paraId="5FCA2452" w14:textId="77777777">
      <w:pPr>
        <w:spacing w:after="0" w:line="240" w:lineRule="auto"/>
      </w:pPr>
      <w:r>
        <w:separator/>
      </w:r>
    </w:p>
  </w:endnote>
  <w:endnote w:type="continuationSeparator" w:id="0">
    <w:p w:rsidR="00DA0B29" w:rsidP="004324EC" w:rsidRDefault="00DA0B29" w14:paraId="00D37E59" w14:textId="77777777">
      <w:pPr>
        <w:spacing w:after="0" w:line="240" w:lineRule="auto"/>
      </w:pPr>
      <w:r>
        <w:continuationSeparator/>
      </w:r>
    </w:p>
  </w:endnote>
  <w:endnote w:type="continuationNotice" w:id="1">
    <w:p w:rsidR="00DA0B29" w:rsidRDefault="00DA0B29" w14:paraId="1DA0832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A0B29" w:rsidP="004324EC" w:rsidRDefault="00DA0B29" w14:paraId="50C66B93" w14:textId="77777777">
      <w:pPr>
        <w:spacing w:after="0" w:line="240" w:lineRule="auto"/>
      </w:pPr>
      <w:r>
        <w:separator/>
      </w:r>
    </w:p>
  </w:footnote>
  <w:footnote w:type="continuationSeparator" w:id="0">
    <w:p w:rsidR="00DA0B29" w:rsidP="004324EC" w:rsidRDefault="00DA0B29" w14:paraId="64973DAC" w14:textId="77777777">
      <w:pPr>
        <w:spacing w:after="0" w:line="240" w:lineRule="auto"/>
      </w:pPr>
      <w:r>
        <w:continuationSeparator/>
      </w:r>
    </w:p>
  </w:footnote>
  <w:footnote w:type="continuationNotice" w:id="1">
    <w:p w:rsidR="00DA0B29" w:rsidRDefault="00DA0B29" w14:paraId="5D525CA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D90B81" w:rsidRDefault="00D90B81" w14:paraId="5356A427" w14:textId="38223684">
    <w:pPr>
      <w:pStyle w:val="Header"/>
    </w:pPr>
    <w:r>
      <w:rPr>
        <w:noProof/>
      </w:rPr>
      <mc:AlternateContent>
        <mc:Choice Requires="wps">
          <w:drawing>
            <wp:anchor distT="0" distB="0" distL="114300" distR="114300" simplePos="0" relativeHeight="251659264" behindDoc="0" locked="0" layoutInCell="0" allowOverlap="1" wp14:anchorId="139228A4" wp14:editId="70C4F617">
              <wp:simplePos x="0" y="0"/>
              <wp:positionH relativeFrom="page">
                <wp:posOffset>0</wp:posOffset>
              </wp:positionH>
              <wp:positionV relativeFrom="page">
                <wp:posOffset>190500</wp:posOffset>
              </wp:positionV>
              <wp:extent cx="7772400" cy="273050"/>
              <wp:effectExtent l="0" t="0" r="0" b="12700"/>
              <wp:wrapNone/>
              <wp:docPr id="1" name="MSIPCM8e7b42089bd0c4c004c4f166"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D4504" w:rsidR="00D90B81" w:rsidP="004D4504" w:rsidRDefault="004D4504" w14:paraId="59211B68" w14:textId="570706B4">
                          <w:pPr>
                            <w:spacing w:after="0"/>
                            <w:rPr>
                              <w:rFonts w:ascii="Calibri" w:hAnsi="Calibri" w:cs="Calibri"/>
                              <w:color w:val="03C03C"/>
                              <w:sz w:val="24"/>
                            </w:rPr>
                          </w:pPr>
                          <w:r>
                            <w:rPr>
                              <w:rFonts w:ascii="Calibri"/>
                              <w:color w:val="03C03C"/>
                              <w:sz w:val="24"/>
                            </w:rPr>
                            <w:t>Öffentlich zugängig</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39228A4">
              <v:stroke joinstyle="miter"/>
              <v:path gradientshapeok="t" o:connecttype="rect"/>
            </v:shapetype>
            <v:shape id="MSIPCM8e7b42089bd0c4c004c4f166"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589026337,&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v:textbox inset="20pt,0,,0">
                <w:txbxContent>
                  <w:p w:rsidRPr="004D4504" w:rsidR="00D90B81" w:rsidP="004D4504" w:rsidRDefault="004D4504" w14:paraId="59211B68" w14:textId="570706B4">
                    <w:pPr>
                      <w:spacing w:after="0"/>
                      <w:rPr>
                        <w:rFonts w:ascii="Calibri" w:hAnsi="Calibri" w:cs="Calibri"/>
                        <w:color w:val="03C03C"/>
                        <w:sz w:val="24"/>
                      </w:rPr>
                    </w:pPr>
                    <w:r>
                      <w:rPr>
                        <w:rFonts w:ascii="Calibri"/>
                        <w:color w:val="03C03C"/>
                        <w:sz w:val="24"/>
                      </w:rPr>
                      <w:t>Öffentlich zugängig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2">
    <w:nsid w:val="30c7d5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786954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5C47BE"/>
    <w:multiLevelType w:val="hybridMultilevel"/>
    <w:tmpl w:val="B686C492"/>
    <w:lvl w:ilvl="0" w:tplc="866C6E4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45EE9"/>
    <w:multiLevelType w:val="hybridMultilevel"/>
    <w:tmpl w:val="14B24C78"/>
    <w:lvl w:ilvl="0" w:tplc="08AC0B8A">
      <w:start w:val="12"/>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984F08A">
      <w:start w:val="1"/>
      <w:numFmt w:val="lowerLetter"/>
      <w:lvlText w:val="%2."/>
      <w:lvlJc w:val="left"/>
      <w:pPr>
        <w:ind w:left="81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3F029FE8">
      <w:start w:val="1"/>
      <w:numFmt w:val="lowerRoman"/>
      <w:lvlText w:val="%3"/>
      <w:lvlJc w:val="left"/>
      <w:pPr>
        <w:ind w:left="12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598F002">
      <w:start w:val="1"/>
      <w:numFmt w:val="decimal"/>
      <w:lvlText w:val="%4"/>
      <w:lvlJc w:val="left"/>
      <w:pPr>
        <w:ind w:left="19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DFA3402">
      <w:start w:val="1"/>
      <w:numFmt w:val="lowerLetter"/>
      <w:lvlText w:val="%5"/>
      <w:lvlJc w:val="left"/>
      <w:pPr>
        <w:ind w:left="264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9AC4EAE2">
      <w:start w:val="1"/>
      <w:numFmt w:val="lowerRoman"/>
      <w:lvlText w:val="%6"/>
      <w:lvlJc w:val="left"/>
      <w:pPr>
        <w:ind w:left="336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69204A1A">
      <w:start w:val="1"/>
      <w:numFmt w:val="decimal"/>
      <w:lvlText w:val="%7"/>
      <w:lvlJc w:val="left"/>
      <w:pPr>
        <w:ind w:left="408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88ED526">
      <w:start w:val="1"/>
      <w:numFmt w:val="lowerLetter"/>
      <w:lvlText w:val="%8"/>
      <w:lvlJc w:val="left"/>
      <w:pPr>
        <w:ind w:left="48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D1C0D36">
      <w:start w:val="1"/>
      <w:numFmt w:val="lowerRoman"/>
      <w:lvlText w:val="%9"/>
      <w:lvlJc w:val="left"/>
      <w:pPr>
        <w:ind w:left="55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4E544EB"/>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4FCB"/>
    <w:multiLevelType w:val="hybridMultilevel"/>
    <w:tmpl w:val="02DAE59C"/>
    <w:lvl w:ilvl="0" w:tplc="79925622">
      <w:start w:val="1"/>
      <w:numFmt w:val="decimal"/>
      <w:lvlText w:val="%1"/>
      <w:lvlJc w:val="left"/>
      <w:pPr>
        <w:ind w:left="3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1" w:tplc="C57A8696">
      <w:start w:val="1"/>
      <w:numFmt w:val="lowerLetter"/>
      <w:lvlText w:val="%2"/>
      <w:lvlJc w:val="left"/>
      <w:pPr>
        <w:ind w:left="7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1A42B40A">
      <w:start w:val="1"/>
      <w:numFmt w:val="lowerLetter"/>
      <w:lvlRestart w:val="0"/>
      <w:lvlText w:val="%3."/>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3" w:tplc="B9580F52">
      <w:start w:val="1"/>
      <w:numFmt w:val="decimal"/>
      <w:lvlText w:val="%4"/>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0662AF4">
      <w:start w:val="1"/>
      <w:numFmt w:val="lowerLetter"/>
      <w:lvlText w:val="%5"/>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FAE4086">
      <w:start w:val="1"/>
      <w:numFmt w:val="lowerRoman"/>
      <w:lvlText w:val="%6"/>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A118B124">
      <w:start w:val="1"/>
      <w:numFmt w:val="decimal"/>
      <w:lvlText w:val="%7"/>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C88A7FC">
      <w:start w:val="1"/>
      <w:numFmt w:val="lowerLetter"/>
      <w:lvlText w:val="%8"/>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FE56B688">
      <w:start w:val="1"/>
      <w:numFmt w:val="lowerRoman"/>
      <w:lvlText w:val="%9"/>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0552398"/>
    <w:multiLevelType w:val="hybridMultilevel"/>
    <w:tmpl w:val="7BA60438"/>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43C8B594">
      <w:start w:val="1"/>
      <w:numFmt w:val="upperLetter"/>
      <w:lvlText w:val="%3."/>
      <w:lvlJc w:val="left"/>
      <w:pPr>
        <w:ind w:left="450" w:hanging="360"/>
      </w:pPr>
      <w:rPr>
        <w:rFonts w:hint="default"/>
      </w:rPr>
    </w:lvl>
    <w:lvl w:ilvl="3" w:tplc="537E7336">
      <w:start w:val="1"/>
      <w:numFmt w:val="lowerLetter"/>
      <w:lvlText w:val="(%4)"/>
      <w:lvlJc w:val="left"/>
      <w:pPr>
        <w:ind w:left="18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A2810"/>
    <w:multiLevelType w:val="multilevel"/>
    <w:tmpl w:val="7C52C646"/>
    <w:lvl w:ilvl="0">
      <w:start w:val="3"/>
      <w:numFmt w:val="decimal"/>
      <w:lvlText w:val="%1."/>
      <w:lvlJc w:val="left"/>
      <w:pPr>
        <w:ind w:left="480" w:hanging="480"/>
      </w:pPr>
      <w:rPr>
        <w:rFonts w:hint="default"/>
      </w:rPr>
    </w:lvl>
    <w:lvl w:ilvl="1">
      <w:start w:val="1"/>
      <w:numFmt w:val="decimalZero"/>
      <w:lvlText w:val="%1.%2."/>
      <w:lvlJc w:val="left"/>
      <w:pPr>
        <w:ind w:left="1512" w:hanging="792"/>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DC653A9"/>
    <w:multiLevelType w:val="hybridMultilevel"/>
    <w:tmpl w:val="D3FACEC6"/>
    <w:lvl w:ilvl="0" w:tplc="1EEEEE94">
      <w:start w:val="1"/>
      <w:numFmt w:val="upperLetter"/>
      <w:pStyle w:val="Recitals"/>
      <w:lvlText w:val="%1."/>
      <w:lvlJc w:val="left"/>
      <w:pPr>
        <w:tabs>
          <w:tab w:val="num" w:pos="907"/>
        </w:tabs>
        <w:ind w:left="851" w:hanging="851"/>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90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F23C39"/>
    <w:multiLevelType w:val="hybridMultilevel"/>
    <w:tmpl w:val="0C66105E"/>
    <w:styleLink w:val="CovingtonHeadings1"/>
    <w:lvl w:ilvl="0" w:tplc="EBACC38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B64B1F"/>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35D79"/>
    <w:multiLevelType w:val="multilevel"/>
    <w:tmpl w:val="8D6858D0"/>
    <w:lvl w:ilvl="0">
      <w:start w:val="9"/>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3510"/>
        </w:tabs>
        <w:ind w:left="1710" w:hanging="360"/>
      </w:pPr>
      <w:rPr>
        <w:rFonts w:hint="default"/>
      </w:rPr>
    </w:lvl>
    <w:lvl w:ilvl="8">
      <w:start w:val="1"/>
      <w:numFmt w:val="lowerRoman"/>
      <w:lvlText w:val="%9."/>
      <w:lvlJc w:val="left"/>
      <w:pPr>
        <w:tabs>
          <w:tab w:val="num" w:pos="540"/>
        </w:tabs>
        <w:ind w:left="540" w:hanging="360"/>
      </w:pPr>
      <w:rPr>
        <w:rFonts w:hint="default"/>
      </w:rPr>
    </w:lvl>
  </w:abstractNum>
  <w:abstractNum w:abstractNumId="10" w15:restartNumberingAfterBreak="0">
    <w:nsid w:val="38BC4F4D"/>
    <w:multiLevelType w:val="multilevel"/>
    <w:tmpl w:val="E1FACD58"/>
    <w:lvl w:ilvl="0">
      <w:start w:val="3"/>
      <w:numFmt w:val="decimal"/>
      <w:lvlText w:val="%1."/>
      <w:lvlJc w:val="left"/>
      <w:pPr>
        <w:ind w:left="480" w:hanging="480"/>
      </w:pPr>
      <w:rPr>
        <w:rFonts w:hint="default"/>
      </w:rPr>
    </w:lvl>
    <w:lvl w:ilvl="1">
      <w:start w:val="1"/>
      <w:numFmt w:val="lowerRoman"/>
      <w:lvlText w:val="%2."/>
      <w:lvlJc w:val="right"/>
      <w:pPr>
        <w:ind w:left="2322" w:hanging="7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9972128"/>
    <w:multiLevelType w:val="hybridMultilevel"/>
    <w:tmpl w:val="46A6AA8C"/>
    <w:lvl w:ilvl="0" w:tplc="45740526">
      <w:start w:val="9"/>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DA4063A4">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F9FAA60C">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8576AA10">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9F0AEA72">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DFDE0A6C">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4AB8EA4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D5297FA">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C55AA358">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3A11502B"/>
    <w:multiLevelType w:val="hybridMultilevel"/>
    <w:tmpl w:val="19AC6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E9A5A2E"/>
    <w:multiLevelType w:val="multilevel"/>
    <w:tmpl w:val="FEEAEA6A"/>
    <w:lvl w:ilvl="0">
      <w:start w:val="3"/>
      <w:numFmt w:val="decimal"/>
      <w:lvlText w:val="%1."/>
      <w:lvlJc w:val="left"/>
      <w:pPr>
        <w:ind w:left="360" w:hanging="360"/>
      </w:pPr>
      <w:rPr>
        <w:rFonts w:hint="default" w:ascii="Times New Roman" w:hAnsi="Times New Roman" w:cs="Times New Roman"/>
      </w:rPr>
    </w:lvl>
    <w:lvl w:ilvl="1">
      <w:start w:val="1"/>
      <w:numFmt w:val="lowerLetter"/>
      <w:lvlText w:val="%2)"/>
      <w:lvlJc w:val="left"/>
      <w:pPr>
        <w:ind w:left="360" w:hanging="360"/>
      </w:pPr>
      <w:rPr>
        <w:rFonts w:hint="default"/>
      </w:rPr>
    </w:lvl>
    <w:lvl w:ilvl="2">
      <w:start w:val="1"/>
      <w:numFmt w:val="lowerRoman"/>
      <w:lvlText w:val="%3."/>
      <w:lvlJc w:val="right"/>
      <w:pPr>
        <w:ind w:left="594" w:hanging="14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F62DEE"/>
    <w:multiLevelType w:val="multilevel"/>
    <w:tmpl w:val="9F808920"/>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BA13AC"/>
    <w:multiLevelType w:val="hybridMultilevel"/>
    <w:tmpl w:val="E8965ECE"/>
    <w:lvl w:ilvl="0" w:tplc="0409000F">
      <w:start w:val="1"/>
      <w:numFmt w:val="decimal"/>
      <w:lvlText w:val="%1."/>
      <w:lvlJc w:val="left"/>
      <w:pPr>
        <w:ind w:left="360" w:hanging="36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D4A4563"/>
    <w:multiLevelType w:val="multilevel"/>
    <w:tmpl w:val="11C4FC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2304" w:hanging="576"/>
      </w:pPr>
      <w:rPr>
        <w:rFonts w:hint="default"/>
      </w:rPr>
    </w:lvl>
  </w:abstractNum>
  <w:abstractNum w:abstractNumId="17" w15:restartNumberingAfterBreak="0">
    <w:nsid w:val="4F094CD7"/>
    <w:multiLevelType w:val="hybridMultilevel"/>
    <w:tmpl w:val="839A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11654"/>
    <w:multiLevelType w:val="hybridMultilevel"/>
    <w:tmpl w:val="70A26D70"/>
    <w:lvl w:ilvl="0" w:tplc="04090001">
      <w:start w:val="1"/>
      <w:numFmt w:val="bullet"/>
      <w:lvlText w:val=""/>
      <w:lvlJc w:val="left"/>
      <w:pPr>
        <w:ind w:left="540" w:hanging="360"/>
      </w:pPr>
      <w:rPr>
        <w:rFonts w:hint="default" w:ascii="Symbol" w:hAnsi="Symbol"/>
      </w:rPr>
    </w:lvl>
    <w:lvl w:ilvl="1" w:tplc="04090003">
      <w:start w:val="1"/>
      <w:numFmt w:val="bullet"/>
      <w:lvlText w:val="o"/>
      <w:lvlJc w:val="left"/>
      <w:pPr>
        <w:ind w:left="1260" w:hanging="360"/>
      </w:pPr>
      <w:rPr>
        <w:rFonts w:hint="default" w:ascii="Courier New" w:hAnsi="Courier New" w:cs="Courier New"/>
      </w:rPr>
    </w:lvl>
    <w:lvl w:ilvl="2" w:tplc="04090005">
      <w:start w:val="1"/>
      <w:numFmt w:val="bullet"/>
      <w:lvlText w:val=""/>
      <w:lvlJc w:val="left"/>
      <w:pPr>
        <w:ind w:left="1980" w:hanging="360"/>
      </w:pPr>
      <w:rPr>
        <w:rFonts w:hint="default" w:ascii="Wingdings" w:hAnsi="Wingdings"/>
      </w:rPr>
    </w:lvl>
    <w:lvl w:ilvl="3" w:tplc="04090001">
      <w:start w:val="1"/>
      <w:numFmt w:val="bullet"/>
      <w:lvlText w:val=""/>
      <w:lvlJc w:val="left"/>
      <w:pPr>
        <w:ind w:left="2700" w:hanging="360"/>
      </w:pPr>
      <w:rPr>
        <w:rFonts w:hint="default" w:ascii="Symbol" w:hAnsi="Symbol"/>
      </w:rPr>
    </w:lvl>
    <w:lvl w:ilvl="4" w:tplc="04090003">
      <w:start w:val="1"/>
      <w:numFmt w:val="bullet"/>
      <w:lvlText w:val="o"/>
      <w:lvlJc w:val="left"/>
      <w:pPr>
        <w:ind w:left="3420" w:hanging="360"/>
      </w:pPr>
      <w:rPr>
        <w:rFonts w:hint="default" w:ascii="Courier New" w:hAnsi="Courier New" w:cs="Courier New"/>
      </w:rPr>
    </w:lvl>
    <w:lvl w:ilvl="5" w:tplc="04090005">
      <w:start w:val="1"/>
      <w:numFmt w:val="bullet"/>
      <w:lvlText w:val=""/>
      <w:lvlJc w:val="left"/>
      <w:pPr>
        <w:ind w:left="4140" w:hanging="360"/>
      </w:pPr>
      <w:rPr>
        <w:rFonts w:hint="default" w:ascii="Wingdings" w:hAnsi="Wingdings"/>
      </w:rPr>
    </w:lvl>
    <w:lvl w:ilvl="6" w:tplc="04090001">
      <w:start w:val="1"/>
      <w:numFmt w:val="bullet"/>
      <w:lvlText w:val=""/>
      <w:lvlJc w:val="left"/>
      <w:pPr>
        <w:ind w:left="4860" w:hanging="360"/>
      </w:pPr>
      <w:rPr>
        <w:rFonts w:hint="default" w:ascii="Symbol" w:hAnsi="Symbol"/>
      </w:rPr>
    </w:lvl>
    <w:lvl w:ilvl="7" w:tplc="04090003">
      <w:start w:val="1"/>
      <w:numFmt w:val="bullet"/>
      <w:lvlText w:val="o"/>
      <w:lvlJc w:val="left"/>
      <w:pPr>
        <w:ind w:left="5580" w:hanging="360"/>
      </w:pPr>
      <w:rPr>
        <w:rFonts w:hint="default" w:ascii="Courier New" w:hAnsi="Courier New" w:cs="Courier New"/>
      </w:rPr>
    </w:lvl>
    <w:lvl w:ilvl="8" w:tplc="04090005">
      <w:start w:val="1"/>
      <w:numFmt w:val="bullet"/>
      <w:lvlText w:val=""/>
      <w:lvlJc w:val="left"/>
      <w:pPr>
        <w:ind w:left="6300" w:hanging="360"/>
      </w:pPr>
      <w:rPr>
        <w:rFonts w:hint="default" w:ascii="Wingdings" w:hAnsi="Wingdings"/>
      </w:rPr>
    </w:lvl>
  </w:abstractNum>
  <w:abstractNum w:abstractNumId="19" w15:restartNumberingAfterBreak="0">
    <w:nsid w:val="554D43A8"/>
    <w:multiLevelType w:val="hybridMultilevel"/>
    <w:tmpl w:val="D3AC2338"/>
    <w:lvl w:ilvl="0" w:tplc="7324B060">
      <w:start w:val="1"/>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604DB92">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0FC69AE6">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CE5AE7A2">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BAD61E36">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2FCD5F8">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0BF03C30">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5C6C3480">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B9E9F9E">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56B94486"/>
    <w:multiLevelType w:val="hybridMultilevel"/>
    <w:tmpl w:val="724C54A4"/>
    <w:lvl w:ilvl="0" w:tplc="8228D51E">
      <w:start w:val="1"/>
      <w:numFmt w:val="decimal"/>
      <w:pStyle w:val="Parties"/>
      <w:lvlText w:val="%1."/>
      <w:lvlJc w:val="left"/>
      <w:pPr>
        <w:tabs>
          <w:tab w:val="num" w:pos="851"/>
        </w:tabs>
        <w:ind w:left="851" w:hanging="851"/>
      </w:pPr>
      <w:rPr>
        <w:color w:val="4472C4"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C36611"/>
    <w:multiLevelType w:val="hybridMultilevel"/>
    <w:tmpl w:val="D16EE6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909F2"/>
    <w:multiLevelType w:val="hybridMultilevel"/>
    <w:tmpl w:val="24403612"/>
    <w:lvl w:ilvl="0" w:tplc="5F860BB2">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36F5E"/>
    <w:multiLevelType w:val="hybridMultilevel"/>
    <w:tmpl w:val="805CDD7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D17C04"/>
    <w:multiLevelType w:val="multilevel"/>
    <w:tmpl w:val="F8928686"/>
    <w:lvl w:ilvl="0">
      <w:start w:val="11"/>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3542052"/>
    <w:multiLevelType w:val="multilevel"/>
    <w:tmpl w:val="E18085F6"/>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1776A"/>
    <w:multiLevelType w:val="hybridMultilevel"/>
    <w:tmpl w:val="1D1287E4"/>
    <w:lvl w:ilvl="0" w:tplc="B0CAD9D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20EFE"/>
    <w:multiLevelType w:val="hybridMultilevel"/>
    <w:tmpl w:val="D1149B3A"/>
    <w:lvl w:ilvl="0" w:tplc="7894313A">
      <w:start w:val="16"/>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7108DEE">
      <w:start w:val="1"/>
      <w:numFmt w:val="lowerLetter"/>
      <w:lvlText w:val="%2."/>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6DA860B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B4F2190A">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DD4669F0">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8174A26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FA48281C">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36C0BB98">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448AF2B6">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778C0EE3"/>
    <w:multiLevelType w:val="hybridMultilevel"/>
    <w:tmpl w:val="B450E978"/>
    <w:lvl w:ilvl="0" w:tplc="30DAA59C">
      <w:start w:val="1"/>
      <w:numFmt w:val="decimal"/>
      <w:lvlText w:val="%1."/>
      <w:lvlJc w:val="left"/>
      <w:pPr>
        <w:ind w:left="720" w:hanging="360"/>
      </w:pPr>
    </w:lvl>
    <w:lvl w:ilvl="1" w:tplc="BFD00A88">
      <w:start w:val="1"/>
      <w:numFmt w:val="lowerLetter"/>
      <w:lvlText w:val="%2."/>
      <w:lvlJc w:val="left"/>
      <w:pPr>
        <w:ind w:left="1440" w:hanging="360"/>
      </w:pPr>
    </w:lvl>
    <w:lvl w:ilvl="2" w:tplc="67AA7AA0">
      <w:start w:val="1"/>
      <w:numFmt w:val="lowerRoman"/>
      <w:lvlText w:val="%3."/>
      <w:lvlJc w:val="right"/>
      <w:pPr>
        <w:ind w:left="2160" w:hanging="180"/>
      </w:pPr>
    </w:lvl>
    <w:lvl w:ilvl="3" w:tplc="DAB03150">
      <w:start w:val="1"/>
      <w:numFmt w:val="decimal"/>
      <w:lvlText w:val="%4."/>
      <w:lvlJc w:val="left"/>
      <w:pPr>
        <w:ind w:left="2880" w:hanging="360"/>
      </w:pPr>
    </w:lvl>
    <w:lvl w:ilvl="4" w:tplc="20BE8FD2">
      <w:start w:val="1"/>
      <w:numFmt w:val="lowerLetter"/>
      <w:lvlText w:val="%5."/>
      <w:lvlJc w:val="left"/>
      <w:pPr>
        <w:ind w:left="3600" w:hanging="360"/>
      </w:pPr>
    </w:lvl>
    <w:lvl w:ilvl="5" w:tplc="EEA27BBC">
      <w:start w:val="1"/>
      <w:numFmt w:val="lowerRoman"/>
      <w:lvlText w:val="%6."/>
      <w:lvlJc w:val="right"/>
      <w:pPr>
        <w:ind w:left="4320" w:hanging="180"/>
      </w:pPr>
    </w:lvl>
    <w:lvl w:ilvl="6" w:tplc="40FA0ED6">
      <w:start w:val="1"/>
      <w:numFmt w:val="decimal"/>
      <w:lvlText w:val="%7."/>
      <w:lvlJc w:val="left"/>
      <w:pPr>
        <w:ind w:left="5040" w:hanging="360"/>
      </w:pPr>
    </w:lvl>
    <w:lvl w:ilvl="7" w:tplc="AD80A904">
      <w:start w:val="1"/>
      <w:numFmt w:val="lowerLetter"/>
      <w:lvlText w:val="%8."/>
      <w:lvlJc w:val="left"/>
      <w:pPr>
        <w:ind w:left="5760" w:hanging="360"/>
      </w:pPr>
    </w:lvl>
    <w:lvl w:ilvl="8" w:tplc="907A04EC">
      <w:start w:val="1"/>
      <w:numFmt w:val="lowerRoman"/>
      <w:lvlText w:val="%9."/>
      <w:lvlJc w:val="right"/>
      <w:pPr>
        <w:ind w:left="6480" w:hanging="180"/>
      </w:pPr>
    </w:lvl>
  </w:abstractNum>
  <w:abstractNum w:abstractNumId="29" w15:restartNumberingAfterBreak="0">
    <w:nsid w:val="77AF3B9C"/>
    <w:multiLevelType w:val="multilevel"/>
    <w:tmpl w:val="A4D61D3C"/>
    <w:lvl w:ilvl="0">
      <w:start w:val="11"/>
      <w:numFmt w:val="decimal"/>
      <w:lvlText w:val="Section %1)"/>
      <w:lvlJc w:val="left"/>
      <w:pPr>
        <w:tabs>
          <w:tab w:val="num" w:pos="360"/>
        </w:tabs>
        <w:ind w:left="360" w:hanging="360"/>
      </w:pPr>
      <w:rPr>
        <w:rFonts w:hint="default"/>
        <w:b/>
        <w:i w:val="0"/>
        <w:u w:val="none"/>
      </w:rPr>
    </w:lvl>
    <w:lvl w:ilvl="1">
      <w:start w:val="5"/>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160"/>
        </w:tabs>
        <w:ind w:left="43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A916FEF"/>
    <w:multiLevelType w:val="hybridMultilevel"/>
    <w:tmpl w:val="A6A6A566"/>
    <w:lvl w:ilvl="0" w:tplc="B3B4AC7E">
      <w:start w:val="3"/>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5B6B86C">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866C462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D80CC1A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30DE397A">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9B28510">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57A2465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F85ED45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5FDE2E94">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num w:numId="34">
    <w:abstractNumId w:val="32"/>
  </w:num>
  <w:num w:numId="33">
    <w:abstractNumId w:val="31"/>
  </w:num>
  <w:num w:numId="1" w16cid:durableId="95369506">
    <w:abstractNumId w:val="28"/>
  </w:num>
  <w:num w:numId="2" w16cid:durableId="1819108043">
    <w:abstractNumId w:val="23"/>
  </w:num>
  <w:num w:numId="3" w16cid:durableId="2093358667">
    <w:abstractNumId w:val="2"/>
  </w:num>
  <w:num w:numId="4" w16cid:durableId="116067881">
    <w:abstractNumId w:val="24"/>
  </w:num>
  <w:num w:numId="5" w16cid:durableId="24596359">
    <w:abstractNumId w:val="22"/>
  </w:num>
  <w:num w:numId="6" w16cid:durableId="8618944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354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454994">
    <w:abstractNumId w:val="16"/>
  </w:num>
  <w:num w:numId="9" w16cid:durableId="1161584137">
    <w:abstractNumId w:val="9"/>
  </w:num>
  <w:num w:numId="10" w16cid:durableId="1113747988">
    <w:abstractNumId w:val="4"/>
  </w:num>
  <w:num w:numId="11" w16cid:durableId="188303828">
    <w:abstractNumId w:val="26"/>
  </w:num>
  <w:num w:numId="12" w16cid:durableId="1437015585">
    <w:abstractNumId w:val="26"/>
    <w:lvlOverride w:ilvl="0">
      <w:startOverride w:val="1"/>
    </w:lvlOverride>
  </w:num>
  <w:num w:numId="13" w16cid:durableId="1359576595">
    <w:abstractNumId w:val="5"/>
  </w:num>
  <w:num w:numId="14" w16cid:durableId="1555192549">
    <w:abstractNumId w:val="10"/>
  </w:num>
  <w:num w:numId="15" w16cid:durableId="820804955">
    <w:abstractNumId w:val="8"/>
  </w:num>
  <w:num w:numId="16" w16cid:durableId="1072853811">
    <w:abstractNumId w:val="18"/>
  </w:num>
  <w:num w:numId="17" w16cid:durableId="1094015724">
    <w:abstractNumId w:val="7"/>
  </w:num>
  <w:num w:numId="18" w16cid:durableId="349988617">
    <w:abstractNumId w:val="21"/>
  </w:num>
  <w:num w:numId="19" w16cid:durableId="543371000">
    <w:abstractNumId w:val="14"/>
  </w:num>
  <w:num w:numId="20" w16cid:durableId="1535995811">
    <w:abstractNumId w:val="29"/>
  </w:num>
  <w:num w:numId="21" w16cid:durableId="468132105">
    <w:abstractNumId w:val="25"/>
  </w:num>
  <w:num w:numId="22" w16cid:durableId="240675856">
    <w:abstractNumId w:val="19"/>
  </w:num>
  <w:num w:numId="23" w16cid:durableId="1066683387">
    <w:abstractNumId w:val="30"/>
  </w:num>
  <w:num w:numId="24" w16cid:durableId="1658222560">
    <w:abstractNumId w:val="11"/>
  </w:num>
  <w:num w:numId="25" w16cid:durableId="606423210">
    <w:abstractNumId w:val="1"/>
  </w:num>
  <w:num w:numId="26" w16cid:durableId="271665929">
    <w:abstractNumId w:val="3"/>
  </w:num>
  <w:num w:numId="27" w16cid:durableId="712192826">
    <w:abstractNumId w:val="27"/>
  </w:num>
  <w:num w:numId="28" w16cid:durableId="1815025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9055973">
    <w:abstractNumId w:val="13"/>
  </w:num>
  <w:num w:numId="30" w16cid:durableId="747270833">
    <w:abstractNumId w:val="17"/>
  </w:num>
  <w:num w:numId="31" w16cid:durableId="1717194846">
    <w:abstractNumId w:val="0"/>
  </w:num>
  <w:num w:numId="32" w16cid:durableId="20961233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EC"/>
    <w:rsid w:val="00005B71"/>
    <w:rsid w:val="00010EAC"/>
    <w:rsid w:val="00012F2C"/>
    <w:rsid w:val="0002769D"/>
    <w:rsid w:val="000307C6"/>
    <w:rsid w:val="000311F4"/>
    <w:rsid w:val="00033014"/>
    <w:rsid w:val="00036CBE"/>
    <w:rsid w:val="00037B27"/>
    <w:rsid w:val="000504E8"/>
    <w:rsid w:val="00063045"/>
    <w:rsid w:val="00097194"/>
    <w:rsid w:val="000A7339"/>
    <w:rsid w:val="000B605F"/>
    <w:rsid w:val="000C0B27"/>
    <w:rsid w:val="000D4E69"/>
    <w:rsid w:val="000E3763"/>
    <w:rsid w:val="000F3F1A"/>
    <w:rsid w:val="0010216A"/>
    <w:rsid w:val="00115857"/>
    <w:rsid w:val="00116A50"/>
    <w:rsid w:val="00122E3F"/>
    <w:rsid w:val="001262B3"/>
    <w:rsid w:val="001329BB"/>
    <w:rsid w:val="00137AF7"/>
    <w:rsid w:val="00154E3A"/>
    <w:rsid w:val="00167080"/>
    <w:rsid w:val="00172D5B"/>
    <w:rsid w:val="001845CF"/>
    <w:rsid w:val="00186DAF"/>
    <w:rsid w:val="001A3ACB"/>
    <w:rsid w:val="001B4958"/>
    <w:rsid w:val="001E0020"/>
    <w:rsid w:val="001E2AEC"/>
    <w:rsid w:val="001F3E8F"/>
    <w:rsid w:val="00203E8E"/>
    <w:rsid w:val="002075CD"/>
    <w:rsid w:val="0022124A"/>
    <w:rsid w:val="002238C6"/>
    <w:rsid w:val="00241B4B"/>
    <w:rsid w:val="00250A6C"/>
    <w:rsid w:val="0025404B"/>
    <w:rsid w:val="00254A7C"/>
    <w:rsid w:val="00273C05"/>
    <w:rsid w:val="00291C23"/>
    <w:rsid w:val="002A29DB"/>
    <w:rsid w:val="002C260E"/>
    <w:rsid w:val="002C30F1"/>
    <w:rsid w:val="002C6459"/>
    <w:rsid w:val="002D14D6"/>
    <w:rsid w:val="002E2C57"/>
    <w:rsid w:val="002E3348"/>
    <w:rsid w:val="0031134A"/>
    <w:rsid w:val="003204A8"/>
    <w:rsid w:val="00320BFA"/>
    <w:rsid w:val="003329C6"/>
    <w:rsid w:val="0034275A"/>
    <w:rsid w:val="00342D26"/>
    <w:rsid w:val="003729AB"/>
    <w:rsid w:val="00382747"/>
    <w:rsid w:val="0039653C"/>
    <w:rsid w:val="003B18B1"/>
    <w:rsid w:val="003C416E"/>
    <w:rsid w:val="003D3050"/>
    <w:rsid w:val="003F1DF8"/>
    <w:rsid w:val="003F47ED"/>
    <w:rsid w:val="003F5FA0"/>
    <w:rsid w:val="003F6D2B"/>
    <w:rsid w:val="004033D3"/>
    <w:rsid w:val="0041331A"/>
    <w:rsid w:val="0041719D"/>
    <w:rsid w:val="00425BDA"/>
    <w:rsid w:val="00427257"/>
    <w:rsid w:val="00427D29"/>
    <w:rsid w:val="0043121E"/>
    <w:rsid w:val="004324EC"/>
    <w:rsid w:val="004416C3"/>
    <w:rsid w:val="004458B5"/>
    <w:rsid w:val="00454D3B"/>
    <w:rsid w:val="004619E3"/>
    <w:rsid w:val="00490F67"/>
    <w:rsid w:val="004A4D35"/>
    <w:rsid w:val="004A5FFF"/>
    <w:rsid w:val="004A60AE"/>
    <w:rsid w:val="004C5D95"/>
    <w:rsid w:val="004D4504"/>
    <w:rsid w:val="004D47DF"/>
    <w:rsid w:val="004E4907"/>
    <w:rsid w:val="004F1156"/>
    <w:rsid w:val="00520410"/>
    <w:rsid w:val="00521660"/>
    <w:rsid w:val="00530F72"/>
    <w:rsid w:val="00532D1E"/>
    <w:rsid w:val="00542AAB"/>
    <w:rsid w:val="0055324A"/>
    <w:rsid w:val="005601DE"/>
    <w:rsid w:val="00565760"/>
    <w:rsid w:val="005737A4"/>
    <w:rsid w:val="00592E29"/>
    <w:rsid w:val="0059389D"/>
    <w:rsid w:val="00597D2D"/>
    <w:rsid w:val="005A42E1"/>
    <w:rsid w:val="005B02BD"/>
    <w:rsid w:val="005B03A0"/>
    <w:rsid w:val="005B24A0"/>
    <w:rsid w:val="005B5BC1"/>
    <w:rsid w:val="005B6BB6"/>
    <w:rsid w:val="005C07CE"/>
    <w:rsid w:val="005D0BE9"/>
    <w:rsid w:val="005F268D"/>
    <w:rsid w:val="005F4B42"/>
    <w:rsid w:val="005F6094"/>
    <w:rsid w:val="00612A70"/>
    <w:rsid w:val="006147CB"/>
    <w:rsid w:val="00614E4D"/>
    <w:rsid w:val="00620B38"/>
    <w:rsid w:val="00623B8B"/>
    <w:rsid w:val="00636448"/>
    <w:rsid w:val="0064420A"/>
    <w:rsid w:val="00682B3F"/>
    <w:rsid w:val="00684E5B"/>
    <w:rsid w:val="006B6704"/>
    <w:rsid w:val="006C0334"/>
    <w:rsid w:val="006C3E84"/>
    <w:rsid w:val="006C5C17"/>
    <w:rsid w:val="006C612D"/>
    <w:rsid w:val="006D6DE3"/>
    <w:rsid w:val="006E0288"/>
    <w:rsid w:val="007103F5"/>
    <w:rsid w:val="00716402"/>
    <w:rsid w:val="00721C21"/>
    <w:rsid w:val="00733B79"/>
    <w:rsid w:val="00746A0F"/>
    <w:rsid w:val="00746C59"/>
    <w:rsid w:val="00747433"/>
    <w:rsid w:val="00756BD3"/>
    <w:rsid w:val="007608E8"/>
    <w:rsid w:val="00762711"/>
    <w:rsid w:val="00763F45"/>
    <w:rsid w:val="007673C8"/>
    <w:rsid w:val="00793BCD"/>
    <w:rsid w:val="00796530"/>
    <w:rsid w:val="00796647"/>
    <w:rsid w:val="00796AF4"/>
    <w:rsid w:val="007B1B5C"/>
    <w:rsid w:val="007C0EC5"/>
    <w:rsid w:val="007D18E0"/>
    <w:rsid w:val="0080449A"/>
    <w:rsid w:val="00811A17"/>
    <w:rsid w:val="0082053B"/>
    <w:rsid w:val="00821EFE"/>
    <w:rsid w:val="00825AD1"/>
    <w:rsid w:val="00830D3E"/>
    <w:rsid w:val="00843AB0"/>
    <w:rsid w:val="0085481C"/>
    <w:rsid w:val="00865F0A"/>
    <w:rsid w:val="008A12D5"/>
    <w:rsid w:val="008A25B1"/>
    <w:rsid w:val="008A66D8"/>
    <w:rsid w:val="008B491F"/>
    <w:rsid w:val="008B5D29"/>
    <w:rsid w:val="008C3E36"/>
    <w:rsid w:val="008D37E4"/>
    <w:rsid w:val="008F3319"/>
    <w:rsid w:val="00913018"/>
    <w:rsid w:val="0092236B"/>
    <w:rsid w:val="00923069"/>
    <w:rsid w:val="009246A0"/>
    <w:rsid w:val="00927E22"/>
    <w:rsid w:val="0093425F"/>
    <w:rsid w:val="00937E3D"/>
    <w:rsid w:val="00956F95"/>
    <w:rsid w:val="0097002C"/>
    <w:rsid w:val="00973579"/>
    <w:rsid w:val="0098278C"/>
    <w:rsid w:val="009A393D"/>
    <w:rsid w:val="009A3E65"/>
    <w:rsid w:val="009C0696"/>
    <w:rsid w:val="009C501C"/>
    <w:rsid w:val="009D0A20"/>
    <w:rsid w:val="009D2A33"/>
    <w:rsid w:val="009D4406"/>
    <w:rsid w:val="009F3488"/>
    <w:rsid w:val="009F56AC"/>
    <w:rsid w:val="00A04DDF"/>
    <w:rsid w:val="00A11162"/>
    <w:rsid w:val="00A34891"/>
    <w:rsid w:val="00A4722E"/>
    <w:rsid w:val="00A5757B"/>
    <w:rsid w:val="00A60112"/>
    <w:rsid w:val="00A614AA"/>
    <w:rsid w:val="00A6204E"/>
    <w:rsid w:val="00A64073"/>
    <w:rsid w:val="00A870B4"/>
    <w:rsid w:val="00AB600A"/>
    <w:rsid w:val="00AB7A37"/>
    <w:rsid w:val="00AC5609"/>
    <w:rsid w:val="00AC5F8D"/>
    <w:rsid w:val="00AD1C8A"/>
    <w:rsid w:val="00AD4F51"/>
    <w:rsid w:val="00AD5728"/>
    <w:rsid w:val="00AE1A30"/>
    <w:rsid w:val="00AE2FFA"/>
    <w:rsid w:val="00AE66AC"/>
    <w:rsid w:val="00AF636A"/>
    <w:rsid w:val="00B06B11"/>
    <w:rsid w:val="00B07A6D"/>
    <w:rsid w:val="00B12084"/>
    <w:rsid w:val="00B17A6C"/>
    <w:rsid w:val="00B37C2B"/>
    <w:rsid w:val="00B44DD5"/>
    <w:rsid w:val="00B5657C"/>
    <w:rsid w:val="00B73E9D"/>
    <w:rsid w:val="00BA1B9D"/>
    <w:rsid w:val="00BB3B36"/>
    <w:rsid w:val="00BB69B9"/>
    <w:rsid w:val="00BB7C96"/>
    <w:rsid w:val="00BC75CF"/>
    <w:rsid w:val="00BE7C81"/>
    <w:rsid w:val="00C05D20"/>
    <w:rsid w:val="00C334BC"/>
    <w:rsid w:val="00C401F0"/>
    <w:rsid w:val="00C40296"/>
    <w:rsid w:val="00C43B40"/>
    <w:rsid w:val="00C5620A"/>
    <w:rsid w:val="00C56BFF"/>
    <w:rsid w:val="00C717D0"/>
    <w:rsid w:val="00C7280C"/>
    <w:rsid w:val="00C742E2"/>
    <w:rsid w:val="00C7626D"/>
    <w:rsid w:val="00C82C9F"/>
    <w:rsid w:val="00C8623D"/>
    <w:rsid w:val="00C947AD"/>
    <w:rsid w:val="00C95A05"/>
    <w:rsid w:val="00CA2A42"/>
    <w:rsid w:val="00CA4B4C"/>
    <w:rsid w:val="00CB0064"/>
    <w:rsid w:val="00CC797F"/>
    <w:rsid w:val="00CD3CBD"/>
    <w:rsid w:val="00CD7E79"/>
    <w:rsid w:val="00CF5BA3"/>
    <w:rsid w:val="00D06C50"/>
    <w:rsid w:val="00D1682C"/>
    <w:rsid w:val="00D3307D"/>
    <w:rsid w:val="00D423DD"/>
    <w:rsid w:val="00D470A5"/>
    <w:rsid w:val="00D6090C"/>
    <w:rsid w:val="00D67335"/>
    <w:rsid w:val="00D67B5B"/>
    <w:rsid w:val="00D70F41"/>
    <w:rsid w:val="00D8498B"/>
    <w:rsid w:val="00D90B81"/>
    <w:rsid w:val="00D9572B"/>
    <w:rsid w:val="00DA0B29"/>
    <w:rsid w:val="00DA3651"/>
    <w:rsid w:val="00DA7382"/>
    <w:rsid w:val="00DB502A"/>
    <w:rsid w:val="00DC0156"/>
    <w:rsid w:val="00DF22E5"/>
    <w:rsid w:val="00DF28BA"/>
    <w:rsid w:val="00E0026C"/>
    <w:rsid w:val="00E03493"/>
    <w:rsid w:val="00E04C2D"/>
    <w:rsid w:val="00E15B7C"/>
    <w:rsid w:val="00E36DCD"/>
    <w:rsid w:val="00E50287"/>
    <w:rsid w:val="00E60EA5"/>
    <w:rsid w:val="00E831F0"/>
    <w:rsid w:val="00E95A6F"/>
    <w:rsid w:val="00E961FB"/>
    <w:rsid w:val="00EA12D0"/>
    <w:rsid w:val="00EC1B92"/>
    <w:rsid w:val="00EC5D48"/>
    <w:rsid w:val="00EC6C23"/>
    <w:rsid w:val="00ED2C2F"/>
    <w:rsid w:val="00EE3D3F"/>
    <w:rsid w:val="00EE54C7"/>
    <w:rsid w:val="00EE7596"/>
    <w:rsid w:val="00EF0BC7"/>
    <w:rsid w:val="00EF7673"/>
    <w:rsid w:val="00F00390"/>
    <w:rsid w:val="00F00F50"/>
    <w:rsid w:val="00F06EAE"/>
    <w:rsid w:val="00F2788E"/>
    <w:rsid w:val="00F320EA"/>
    <w:rsid w:val="00F32B73"/>
    <w:rsid w:val="00F423EF"/>
    <w:rsid w:val="00F5290A"/>
    <w:rsid w:val="00F67CDD"/>
    <w:rsid w:val="00F769BD"/>
    <w:rsid w:val="00F77F5E"/>
    <w:rsid w:val="00F8201C"/>
    <w:rsid w:val="00F82128"/>
    <w:rsid w:val="00F835A3"/>
    <w:rsid w:val="00F85CA1"/>
    <w:rsid w:val="00F90719"/>
    <w:rsid w:val="00F93472"/>
    <w:rsid w:val="00FA6CFE"/>
    <w:rsid w:val="00FB5CDD"/>
    <w:rsid w:val="00FC1355"/>
    <w:rsid w:val="00FC2D6E"/>
    <w:rsid w:val="00FD6D2D"/>
    <w:rsid w:val="00FE63FD"/>
    <w:rsid w:val="0404C732"/>
    <w:rsid w:val="04D77FF2"/>
    <w:rsid w:val="0557E269"/>
    <w:rsid w:val="068C81A9"/>
    <w:rsid w:val="06B6FCC6"/>
    <w:rsid w:val="07A443D0"/>
    <w:rsid w:val="09F43D92"/>
    <w:rsid w:val="0D2FCF43"/>
    <w:rsid w:val="0D9219C1"/>
    <w:rsid w:val="0E9738D0"/>
    <w:rsid w:val="1124C18C"/>
    <w:rsid w:val="125F76DC"/>
    <w:rsid w:val="1429F3B2"/>
    <w:rsid w:val="16440CD7"/>
    <w:rsid w:val="17D98CB0"/>
    <w:rsid w:val="19504DFD"/>
    <w:rsid w:val="19D18B1B"/>
    <w:rsid w:val="1DDD9BA3"/>
    <w:rsid w:val="1F46142A"/>
    <w:rsid w:val="1FC93AC6"/>
    <w:rsid w:val="248950B7"/>
    <w:rsid w:val="25BA5DEC"/>
    <w:rsid w:val="2786FD3F"/>
    <w:rsid w:val="296D9602"/>
    <w:rsid w:val="2E5E4A07"/>
    <w:rsid w:val="2FA64E95"/>
    <w:rsid w:val="30AB064A"/>
    <w:rsid w:val="30CCD419"/>
    <w:rsid w:val="3238FAB8"/>
    <w:rsid w:val="3259239C"/>
    <w:rsid w:val="3321B756"/>
    <w:rsid w:val="34356B1C"/>
    <w:rsid w:val="362E7261"/>
    <w:rsid w:val="378925F8"/>
    <w:rsid w:val="38254167"/>
    <w:rsid w:val="389CEFD2"/>
    <w:rsid w:val="3981519A"/>
    <w:rsid w:val="39BC363E"/>
    <w:rsid w:val="3C4AE174"/>
    <w:rsid w:val="3D7060F5"/>
    <w:rsid w:val="40CD53F9"/>
    <w:rsid w:val="40FCF148"/>
    <w:rsid w:val="410D21BB"/>
    <w:rsid w:val="42C2DCC8"/>
    <w:rsid w:val="47064E79"/>
    <w:rsid w:val="474A791A"/>
    <w:rsid w:val="4AA57E9B"/>
    <w:rsid w:val="4B30F6B8"/>
    <w:rsid w:val="51889A9A"/>
    <w:rsid w:val="53FDB3C9"/>
    <w:rsid w:val="54BE282A"/>
    <w:rsid w:val="54BE282A"/>
    <w:rsid w:val="54EE3BB0"/>
    <w:rsid w:val="5B9491EE"/>
    <w:rsid w:val="5D012BAB"/>
    <w:rsid w:val="5F5C5AF1"/>
    <w:rsid w:val="5FC6389E"/>
    <w:rsid w:val="607991C3"/>
    <w:rsid w:val="63A5C068"/>
    <w:rsid w:val="64395148"/>
    <w:rsid w:val="64EE7229"/>
    <w:rsid w:val="65663E89"/>
    <w:rsid w:val="66E02827"/>
    <w:rsid w:val="68A9A020"/>
    <w:rsid w:val="69090A99"/>
    <w:rsid w:val="69DA8BC5"/>
    <w:rsid w:val="6CEFF8F7"/>
    <w:rsid w:val="6D78D61E"/>
    <w:rsid w:val="6D86AB92"/>
    <w:rsid w:val="6E28A850"/>
    <w:rsid w:val="701B747D"/>
    <w:rsid w:val="72E1BEA6"/>
    <w:rsid w:val="7351556E"/>
    <w:rsid w:val="73EF7D18"/>
    <w:rsid w:val="753C5882"/>
    <w:rsid w:val="75698583"/>
    <w:rsid w:val="788705A8"/>
    <w:rsid w:val="7A8FF0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B0CF"/>
  <w15:chartTrackingRefBased/>
  <w15:docId w15:val="{0DB11786-EDBB-423D-87F8-32E4AAAD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24EC"/>
  </w:style>
  <w:style w:type="paragraph" w:styleId="Heading1">
    <w:name w:val="heading 1"/>
    <w:basedOn w:val="Normal"/>
    <w:next w:val="Normal"/>
    <w:link w:val="Heading1Char"/>
    <w:uiPriority w:val="9"/>
    <w:qFormat/>
    <w:rsid w:val="0039653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4"/>
    <w:unhideWhenUsed/>
    <w:qFormat/>
    <w:rsid w:val="004324EC"/>
    <w:pPr>
      <w:spacing w:after="0" w:line="240" w:lineRule="auto"/>
      <w:contextualSpacing/>
      <w:jc w:val="center"/>
      <w:outlineLvl w:val="1"/>
    </w:pPr>
    <w:rPr>
      <w:rFonts w:ascii="Times New Roman" w:hAnsi="Times New Roman" w:cs="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24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24EC"/>
  </w:style>
  <w:style w:type="paragraph" w:styleId="Footer">
    <w:name w:val="footer"/>
    <w:basedOn w:val="Normal"/>
    <w:link w:val="FooterChar"/>
    <w:uiPriority w:val="99"/>
    <w:unhideWhenUsed/>
    <w:rsid w:val="004324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24EC"/>
  </w:style>
  <w:style w:type="character" w:styleId="Heading2Char" w:customStyle="1">
    <w:name w:val="Heading 2 Char"/>
    <w:basedOn w:val="DefaultParagraphFont"/>
    <w:link w:val="Heading2"/>
    <w:uiPriority w:val="4"/>
    <w:rsid w:val="004324EC"/>
    <w:rPr>
      <w:rFonts w:ascii="Times New Roman" w:hAnsi="Times New Roman" w:cs="Times New Roman"/>
      <w:b/>
      <w:bCs/>
      <w:sz w:val="28"/>
      <w:szCs w:val="24"/>
    </w:rPr>
  </w:style>
  <w:style w:type="paragraph" w:styleId="ListParagraph">
    <w:name w:val="List Paragraph"/>
    <w:basedOn w:val="Normal"/>
    <w:link w:val="ListParagraphChar"/>
    <w:uiPriority w:val="34"/>
    <w:qFormat/>
    <w:rsid w:val="004324EC"/>
    <w:pPr>
      <w:spacing w:after="0" w:line="240" w:lineRule="auto"/>
      <w:ind w:left="720"/>
      <w:contextualSpacing/>
    </w:pPr>
    <w:rPr>
      <w:rFonts w:ascii="Calibri" w:hAnsi="Calibri" w:cs="Calibri"/>
    </w:rPr>
  </w:style>
  <w:style w:type="paragraph" w:styleId="FootnoteText">
    <w:name w:val="footnote text"/>
    <w:basedOn w:val="Normal"/>
    <w:link w:val="FootnoteTextChar"/>
    <w:uiPriority w:val="99"/>
    <w:unhideWhenUsed/>
    <w:rsid w:val="004324EC"/>
    <w:pPr>
      <w:spacing w:after="0" w:line="240" w:lineRule="auto"/>
    </w:pPr>
    <w:rPr>
      <w:rFonts w:ascii="Calibri" w:hAnsi="Calibri" w:cs="Calibri"/>
      <w:sz w:val="20"/>
      <w:szCs w:val="20"/>
    </w:rPr>
  </w:style>
  <w:style w:type="character" w:styleId="FootnoteTextChar" w:customStyle="1">
    <w:name w:val="Footnote Text Char"/>
    <w:basedOn w:val="DefaultParagraphFont"/>
    <w:link w:val="FootnoteText"/>
    <w:uiPriority w:val="99"/>
    <w:rsid w:val="004324EC"/>
    <w:rPr>
      <w:rFonts w:ascii="Calibri" w:hAnsi="Calibri" w:cs="Calibri"/>
      <w:sz w:val="20"/>
      <w:szCs w:val="20"/>
    </w:rPr>
  </w:style>
  <w:style w:type="character" w:styleId="FootnoteReference">
    <w:name w:val="footnote reference"/>
    <w:basedOn w:val="DefaultParagraphFont"/>
    <w:uiPriority w:val="99"/>
    <w:unhideWhenUsed/>
    <w:rsid w:val="004324EC"/>
    <w:rPr>
      <w:vertAlign w:val="superscript"/>
    </w:rPr>
  </w:style>
  <w:style w:type="paragraph" w:styleId="BodyTextIndent">
    <w:name w:val="Body Text Indent"/>
    <w:basedOn w:val="Normal"/>
    <w:link w:val="BodyTextIndentChar"/>
    <w:uiPriority w:val="99"/>
    <w:semiHidden/>
    <w:unhideWhenUsed/>
    <w:rsid w:val="004324EC"/>
    <w:pPr>
      <w:spacing w:after="120"/>
      <w:ind w:left="360"/>
    </w:pPr>
  </w:style>
  <w:style w:type="character" w:styleId="BodyTextIndentChar" w:customStyle="1">
    <w:name w:val="Body Text Indent Char"/>
    <w:basedOn w:val="DefaultParagraphFont"/>
    <w:link w:val="BodyTextIndent"/>
    <w:uiPriority w:val="99"/>
    <w:semiHidden/>
    <w:rsid w:val="004324EC"/>
  </w:style>
  <w:style w:type="paragraph" w:styleId="BodyTextFirstIndent2">
    <w:name w:val="Body Text First Indent 2"/>
    <w:basedOn w:val="BodyTextFirstIndent"/>
    <w:link w:val="BodyTextFirstIndent2Char"/>
    <w:rsid w:val="004324EC"/>
    <w:pPr>
      <w:spacing w:after="0" w:line="480" w:lineRule="auto"/>
      <w:ind w:firstLine="1440"/>
      <w:contextualSpacing/>
    </w:pPr>
    <w:rPr>
      <w:szCs w:val="24"/>
    </w:rPr>
  </w:style>
  <w:style w:type="character" w:styleId="BodyTextFirstIndent2Char" w:customStyle="1">
    <w:name w:val="Body Text First Indent 2 Char"/>
    <w:basedOn w:val="BodyTextIndentChar"/>
    <w:link w:val="BodyTextFirstIndent2"/>
    <w:rsid w:val="004324EC"/>
    <w:rPr>
      <w:szCs w:val="24"/>
    </w:rPr>
  </w:style>
  <w:style w:type="paragraph" w:styleId="BodyTextIndent2">
    <w:name w:val="Body Text Indent 2"/>
    <w:basedOn w:val="BodyTextIndent"/>
    <w:link w:val="BodyTextIndent2Char"/>
    <w:rsid w:val="004324EC"/>
    <w:pPr>
      <w:spacing w:after="0" w:line="480" w:lineRule="auto"/>
      <w:ind w:left="1440"/>
    </w:pPr>
    <w:rPr>
      <w:sz w:val="24"/>
      <w:szCs w:val="24"/>
    </w:rPr>
  </w:style>
  <w:style w:type="character" w:styleId="BodyTextIndent2Char" w:customStyle="1">
    <w:name w:val="Body Text Indent 2 Char"/>
    <w:basedOn w:val="DefaultParagraphFont"/>
    <w:link w:val="BodyTextIndent2"/>
    <w:rsid w:val="004324EC"/>
    <w:rPr>
      <w:sz w:val="24"/>
      <w:szCs w:val="24"/>
    </w:rPr>
  </w:style>
  <w:style w:type="character" w:styleId="Hyperlink">
    <w:name w:val="Hyperlink"/>
    <w:basedOn w:val="DefaultParagraphFont"/>
    <w:uiPriority w:val="99"/>
    <w:unhideWhenUsed/>
    <w:rsid w:val="004324EC"/>
    <w:rPr>
      <w:color w:val="0563C1" w:themeColor="hyperlink"/>
      <w:u w:val="single"/>
    </w:rPr>
  </w:style>
  <w:style w:type="character" w:styleId="CommentReference">
    <w:name w:val="annotation reference"/>
    <w:uiPriority w:val="99"/>
    <w:rsid w:val="004324EC"/>
    <w:rPr>
      <w:sz w:val="16"/>
      <w:szCs w:val="16"/>
    </w:rPr>
  </w:style>
  <w:style w:type="character" w:styleId="ListParagraphChar" w:customStyle="1">
    <w:name w:val="List Paragraph Char"/>
    <w:basedOn w:val="DefaultParagraphFont"/>
    <w:link w:val="ListParagraph"/>
    <w:uiPriority w:val="34"/>
    <w:rsid w:val="004324EC"/>
    <w:rPr>
      <w:rFonts w:ascii="Calibri" w:hAnsi="Calibri" w:cs="Calibri"/>
    </w:rPr>
  </w:style>
  <w:style w:type="paragraph" w:styleId="BodyText">
    <w:name w:val="Body Text"/>
    <w:basedOn w:val="Normal"/>
    <w:link w:val="BodyTextChar"/>
    <w:unhideWhenUsed/>
    <w:qFormat/>
    <w:rsid w:val="004324EC"/>
    <w:pPr>
      <w:spacing w:after="120"/>
    </w:pPr>
  </w:style>
  <w:style w:type="character" w:styleId="BodyTextChar" w:customStyle="1">
    <w:name w:val="Body Text Char"/>
    <w:basedOn w:val="DefaultParagraphFont"/>
    <w:link w:val="BodyText"/>
    <w:rsid w:val="004324EC"/>
  </w:style>
  <w:style w:type="paragraph" w:styleId="BodyTextFirstIndent">
    <w:name w:val="Body Text First Indent"/>
    <w:basedOn w:val="BodyText"/>
    <w:link w:val="BodyTextFirstIndentChar"/>
    <w:uiPriority w:val="99"/>
    <w:semiHidden/>
    <w:unhideWhenUsed/>
    <w:rsid w:val="004324EC"/>
    <w:pPr>
      <w:spacing w:after="160"/>
      <w:ind w:firstLine="360"/>
    </w:pPr>
  </w:style>
  <w:style w:type="character" w:styleId="BodyTextFirstIndentChar" w:customStyle="1">
    <w:name w:val="Body Text First Indent Char"/>
    <w:basedOn w:val="BodyTextChar"/>
    <w:link w:val="BodyTextFirstIndent"/>
    <w:uiPriority w:val="99"/>
    <w:semiHidden/>
    <w:rsid w:val="004324EC"/>
  </w:style>
  <w:style w:type="paragraph" w:styleId="Parties" w:customStyle="1">
    <w:name w:val="Parties"/>
    <w:basedOn w:val="Normal"/>
    <w:qFormat/>
    <w:rsid w:val="007673C8"/>
    <w:pPr>
      <w:numPr>
        <w:numId w:val="6"/>
      </w:numPr>
      <w:spacing w:after="0" w:line="240" w:lineRule="auto"/>
    </w:pPr>
    <w:rPr>
      <w:sz w:val="24"/>
      <w:szCs w:val="24"/>
    </w:rPr>
  </w:style>
  <w:style w:type="paragraph" w:styleId="Recitals" w:customStyle="1">
    <w:name w:val="Recitals"/>
    <w:basedOn w:val="Normal"/>
    <w:uiPriority w:val="1"/>
    <w:qFormat/>
    <w:rsid w:val="007673C8"/>
    <w:pPr>
      <w:numPr>
        <w:numId w:val="7"/>
      </w:numPr>
      <w:spacing w:after="0" w:line="240" w:lineRule="auto"/>
    </w:pPr>
    <w:rPr>
      <w:sz w:val="24"/>
      <w:szCs w:val="24"/>
    </w:rPr>
  </w:style>
  <w:style w:type="table" w:styleId="TableGrid">
    <w:name w:val="Table Grid"/>
    <w:basedOn w:val="TableNormal"/>
    <w:uiPriority w:val="59"/>
    <w:rsid w:val="007673C8"/>
    <w:pPr>
      <w:spacing w:after="0" w:line="240" w:lineRule="auto"/>
    </w:pPr>
    <w:rPr>
      <w:sz w:val="24"/>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06C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6C50"/>
    <w:rPr>
      <w:rFonts w:ascii="Segoe UI" w:hAnsi="Segoe UI" w:cs="Segoe UI"/>
      <w:sz w:val="18"/>
      <w:szCs w:val="18"/>
    </w:rPr>
  </w:style>
  <w:style w:type="paragraph" w:styleId="Default" w:customStyle="1">
    <w:name w:val="Default"/>
    <w:basedOn w:val="Normal"/>
    <w:rsid w:val="753C5882"/>
    <w:rPr>
      <w:rFonts w:ascii="Arial" w:hAnsi="Arial" w:eastAsia="MS Mincho" w:cs="Arial"/>
      <w:color w:val="000000" w:themeColor="text1"/>
      <w:sz w:val="24"/>
      <w:szCs w:val="24"/>
    </w:rPr>
  </w:style>
  <w:style w:type="character" w:styleId="Strong">
    <w:name w:val="Strong"/>
    <w:basedOn w:val="DefaultParagraphFont"/>
    <w:uiPriority w:val="22"/>
    <w:qFormat/>
    <w:rsid w:val="00C947AD"/>
    <w:rPr>
      <w:b/>
      <w:bCs/>
    </w:rPr>
  </w:style>
  <w:style w:type="numbering" w:styleId="CovingtonHeadings1" w:customStyle="1">
    <w:name w:val="Covington Headings1"/>
    <w:uiPriority w:val="99"/>
    <w:rsid w:val="00186DAF"/>
    <w:pPr>
      <w:numPr>
        <w:numId w:val="17"/>
      </w:numPr>
    </w:pPr>
  </w:style>
  <w:style w:type="character" w:styleId="PlaceholderText">
    <w:name w:val="Placeholder Text"/>
    <w:basedOn w:val="DefaultParagraphFont"/>
    <w:uiPriority w:val="99"/>
    <w:semiHidden/>
    <w:rsid w:val="00EE3D3F"/>
    <w:rPr>
      <w:color w:val="808080"/>
    </w:rPr>
  </w:style>
  <w:style w:type="character" w:styleId="Heading1Char" w:customStyle="1">
    <w:name w:val="Heading 1 Char"/>
    <w:basedOn w:val="DefaultParagraphFont"/>
    <w:link w:val="Heading1"/>
    <w:uiPriority w:val="9"/>
    <w:rsid w:val="0039653C"/>
    <w:rPr>
      <w:rFonts w:asciiTheme="majorHAnsi" w:hAnsiTheme="majorHAnsi" w:eastAsiaTheme="majorEastAsia" w:cstheme="majorBidi"/>
      <w:color w:val="2F5496" w:themeColor="accent1" w:themeShade="BF"/>
      <w:sz w:val="32"/>
      <w:szCs w:val="32"/>
    </w:rPr>
  </w:style>
  <w:style w:type="table" w:styleId="TableGrid0" w:customStyle="1">
    <w:name w:val="TableGrid"/>
    <w:rsid w:val="0039653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7002C"/>
    <w:rPr>
      <w:color w:val="605E5C"/>
      <w:shd w:val="clear" w:color="auto" w:fill="E1DFDD"/>
    </w:rPr>
  </w:style>
  <w:style w:type="paragraph" w:styleId="CommentText">
    <w:name w:val="annotation text"/>
    <w:basedOn w:val="Normal"/>
    <w:link w:val="CommentTextChar"/>
    <w:uiPriority w:val="99"/>
    <w:semiHidden/>
    <w:unhideWhenUsed/>
    <w:rsid w:val="00973579"/>
    <w:pPr>
      <w:spacing w:line="240" w:lineRule="auto"/>
    </w:pPr>
    <w:rPr>
      <w:sz w:val="20"/>
      <w:szCs w:val="20"/>
    </w:rPr>
  </w:style>
  <w:style w:type="character" w:styleId="CommentTextChar" w:customStyle="1">
    <w:name w:val="Comment Text Char"/>
    <w:basedOn w:val="DefaultParagraphFont"/>
    <w:link w:val="CommentText"/>
    <w:uiPriority w:val="99"/>
    <w:semiHidden/>
    <w:rsid w:val="00973579"/>
    <w:rPr>
      <w:sz w:val="20"/>
      <w:szCs w:val="20"/>
    </w:rPr>
  </w:style>
  <w:style w:type="paragraph" w:styleId="CommentSubject">
    <w:name w:val="annotation subject"/>
    <w:basedOn w:val="CommentText"/>
    <w:next w:val="CommentText"/>
    <w:link w:val="CommentSubjectChar"/>
    <w:uiPriority w:val="99"/>
    <w:semiHidden/>
    <w:unhideWhenUsed/>
    <w:rsid w:val="00973579"/>
    <w:rPr>
      <w:b/>
      <w:bCs/>
    </w:rPr>
  </w:style>
  <w:style w:type="character" w:styleId="CommentSubjectChar" w:customStyle="1">
    <w:name w:val="Comment Subject Char"/>
    <w:basedOn w:val="CommentTextChar"/>
    <w:link w:val="CommentSubject"/>
    <w:uiPriority w:val="99"/>
    <w:semiHidden/>
    <w:rsid w:val="00973579"/>
    <w:rPr>
      <w:b/>
      <w:bCs/>
      <w:sz w:val="20"/>
      <w:szCs w:val="20"/>
    </w:rPr>
  </w:style>
  <w:style w:type="character" w:styleId="Emphasis">
    <w:name w:val="Emphasis"/>
    <w:basedOn w:val="DefaultParagraphFont"/>
    <w:uiPriority w:val="20"/>
    <w:qFormat/>
    <w:rsid w:val="00EC6C23"/>
    <w:rPr>
      <w:i/>
      <w:iCs/>
    </w:rPr>
  </w:style>
  <w:style w:type="paragraph" w:styleId="NormalWeb">
    <w:name w:val="Normal (Web)"/>
    <w:basedOn w:val="Normal"/>
    <w:uiPriority w:val="99"/>
    <w:unhideWhenUsed/>
    <w:rsid w:val="00154E3A"/>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F42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32407">
      <w:bodyDiv w:val="1"/>
      <w:marLeft w:val="0"/>
      <w:marRight w:val="0"/>
      <w:marTop w:val="0"/>
      <w:marBottom w:val="0"/>
      <w:divBdr>
        <w:top w:val="none" w:sz="0" w:space="0" w:color="auto"/>
        <w:left w:val="none" w:sz="0" w:space="0" w:color="auto"/>
        <w:bottom w:val="none" w:sz="0" w:space="0" w:color="auto"/>
        <w:right w:val="none" w:sz="0" w:space="0" w:color="auto"/>
      </w:divBdr>
    </w:div>
    <w:div w:id="211963724">
      <w:bodyDiv w:val="1"/>
      <w:marLeft w:val="0"/>
      <w:marRight w:val="0"/>
      <w:marTop w:val="0"/>
      <w:marBottom w:val="0"/>
      <w:divBdr>
        <w:top w:val="none" w:sz="0" w:space="0" w:color="auto"/>
        <w:left w:val="none" w:sz="0" w:space="0" w:color="auto"/>
        <w:bottom w:val="none" w:sz="0" w:space="0" w:color="auto"/>
        <w:right w:val="none" w:sz="0" w:space="0" w:color="auto"/>
      </w:divBdr>
    </w:div>
    <w:div w:id="369112678">
      <w:bodyDiv w:val="1"/>
      <w:marLeft w:val="0"/>
      <w:marRight w:val="0"/>
      <w:marTop w:val="0"/>
      <w:marBottom w:val="0"/>
      <w:divBdr>
        <w:top w:val="none" w:sz="0" w:space="0" w:color="auto"/>
        <w:left w:val="none" w:sz="0" w:space="0" w:color="auto"/>
        <w:bottom w:val="none" w:sz="0" w:space="0" w:color="auto"/>
        <w:right w:val="none" w:sz="0" w:space="0" w:color="auto"/>
      </w:divBdr>
    </w:div>
    <w:div w:id="558713537">
      <w:bodyDiv w:val="1"/>
      <w:marLeft w:val="0"/>
      <w:marRight w:val="0"/>
      <w:marTop w:val="0"/>
      <w:marBottom w:val="0"/>
      <w:divBdr>
        <w:top w:val="none" w:sz="0" w:space="0" w:color="auto"/>
        <w:left w:val="none" w:sz="0" w:space="0" w:color="auto"/>
        <w:bottom w:val="none" w:sz="0" w:space="0" w:color="auto"/>
        <w:right w:val="none" w:sz="0" w:space="0" w:color="auto"/>
      </w:divBdr>
    </w:div>
    <w:div w:id="670060314">
      <w:bodyDiv w:val="1"/>
      <w:marLeft w:val="0"/>
      <w:marRight w:val="0"/>
      <w:marTop w:val="0"/>
      <w:marBottom w:val="0"/>
      <w:divBdr>
        <w:top w:val="none" w:sz="0" w:space="0" w:color="auto"/>
        <w:left w:val="none" w:sz="0" w:space="0" w:color="auto"/>
        <w:bottom w:val="none" w:sz="0" w:space="0" w:color="auto"/>
        <w:right w:val="none" w:sz="0" w:space="0" w:color="auto"/>
      </w:divBdr>
    </w:div>
    <w:div w:id="799305237">
      <w:bodyDiv w:val="1"/>
      <w:marLeft w:val="0"/>
      <w:marRight w:val="0"/>
      <w:marTop w:val="0"/>
      <w:marBottom w:val="0"/>
      <w:divBdr>
        <w:top w:val="none" w:sz="0" w:space="0" w:color="auto"/>
        <w:left w:val="none" w:sz="0" w:space="0" w:color="auto"/>
        <w:bottom w:val="none" w:sz="0" w:space="0" w:color="auto"/>
        <w:right w:val="none" w:sz="0" w:space="0" w:color="auto"/>
      </w:divBdr>
    </w:div>
    <w:div w:id="960186802">
      <w:bodyDiv w:val="1"/>
      <w:marLeft w:val="0"/>
      <w:marRight w:val="0"/>
      <w:marTop w:val="0"/>
      <w:marBottom w:val="0"/>
      <w:divBdr>
        <w:top w:val="none" w:sz="0" w:space="0" w:color="auto"/>
        <w:left w:val="none" w:sz="0" w:space="0" w:color="auto"/>
        <w:bottom w:val="none" w:sz="0" w:space="0" w:color="auto"/>
        <w:right w:val="none" w:sz="0" w:space="0" w:color="auto"/>
      </w:divBdr>
    </w:div>
    <w:div w:id="1873952723">
      <w:bodyDiv w:val="1"/>
      <w:marLeft w:val="0"/>
      <w:marRight w:val="0"/>
      <w:marTop w:val="0"/>
      <w:marBottom w:val="0"/>
      <w:divBdr>
        <w:top w:val="none" w:sz="0" w:space="0" w:color="auto"/>
        <w:left w:val="none" w:sz="0" w:space="0" w:color="auto"/>
        <w:bottom w:val="none" w:sz="0" w:space="0" w:color="auto"/>
        <w:right w:val="none" w:sz="0" w:space="0" w:color="auto"/>
      </w:divBdr>
    </w:div>
    <w:div w:id="210556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22" /><Relationship Type="http://schemas.openxmlformats.org/officeDocument/2006/relationships/hyperlink" Target="mailto:globalopscnt@merck.com" TargetMode="External" Id="Rf1e28512d11f4744" /><Relationship Type="http://schemas.openxmlformats.org/officeDocument/2006/relationships/hyperlink" Target="http://www.cisecurity.org/" TargetMode="External" Id="R8e0e366c674046d2" /><Relationship Type="http://schemas.openxmlformats.org/officeDocument/2006/relationships/hyperlink" Target="http://www.pcisecuritystandards.org/" TargetMode="External" Id="Ra68a88a9d9f54ee3" /><Relationship Type="http://schemas.openxmlformats.org/officeDocument/2006/relationships/hyperlink" Target="http://csrc.nist.gov/" TargetMode="External" Id="Re2a36996f7f44de9" /><Relationship Type="http://schemas.openxmlformats.org/officeDocument/2006/relationships/hyperlink" Target="http://csrc.nist.gov/" TargetMode="External" Id="Rd6cd5f6e914d428e" /><Relationship Type="http://schemas.openxmlformats.org/officeDocument/2006/relationships/hyperlink" Target="http://www.iso27001security.com/" TargetMode="External" Id="R6688adf72e854b8b" /><Relationship Type="http://schemas.openxmlformats.org/officeDocument/2006/relationships/hyperlink" Target="http://www.oasis-open.org/" TargetMode="External" Id="Rc4359528c9254127" /><Relationship Type="http://schemas.openxmlformats.org/officeDocument/2006/relationships/hyperlink" Target="http://www.owasp.org/" TargetMode="External" Id="R474b68af1ba04fc1" /><Relationship Type="http://schemas.openxmlformats.org/officeDocument/2006/relationships/hyperlink" Target="http://cwe.mitre.org/" TargetMode="External" Id="R643c1ea7419e457b" /><Relationship Type="http://schemas.openxmlformats.org/officeDocument/2006/relationships/hyperlink" Target="http://cwe.mitre.org/top25/" TargetMode="External" Id="R6fd1a8e9511a4bef" /><Relationship Type="http://schemas.openxmlformats.org/officeDocument/2006/relationships/hyperlink" Target="http://www.sans.org/" TargetMode="External" Id="Rfe36c94292fd482c" /><Relationship Type="http://schemas.openxmlformats.org/officeDocument/2006/relationships/hyperlink" Target="http://www.sans.org/top25-programming-errors/" TargetMode="External" Id="Ra7510dbe079e43b9" /><Relationship Type="http://schemas.openxmlformats.org/officeDocument/2006/relationships/hyperlink" Target="http://www.cnil.fr/" TargetMode="External" Id="Re93b245dfce34a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07eef9-58af-45a0-9428-d5ca81f1c261">
      <UserInfo>
        <DisplayName>Minter, Lynne B.</DisplayName>
        <AccountId>844</AccountId>
        <AccountType/>
      </UserInfo>
      <UserInfo>
        <DisplayName>Fisher, Daniel</DisplayName>
        <AccountId>2074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10f9ac0-5937-4b4f-b459-96aedd9ed2c5" origin="userSelected">
  <element uid="id_classification_eusecret" value=""/>
  <element uid="cefbaa69-3bfa-4b56-8d22-6839cb7b06d0" value=""/>
</sisl>
</file>

<file path=customXml/item4.xml>��< ? x m l   v e r s i o n = " 1 . 0 "   e n c o d i n g = " u t f - 1 6 " ? > < p r o p e r t i e s   x m l n s = " h t t p : / / w w w . i m a n a g e . c o m / w o r k / x m l s c h e m a " >  
     < d o c u m e n t i d > D O C U M E N T S ! 1 3 5 8 6 8 8 2 8 . 1 < / d o c u m e n t i d >  
     < s e n d e r i d > A H E M O N D < / s e n d e r i d >  
     < s e n d e r e m a i l > A H E M O N D @ B L G . C O M < / s e n d e r e m a i l >  
     < l a s t m o d i f i e d > 2 0 2 3 - 0 3 - 3 1 T 1 2 : 2 5 : 0 0 . 0 0 0 0 0 0 0 - 0 4 : 0 0 < / l a s t m o d i f i e d >  
     < d a t a b a s e > D O C U M E N T S 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5FF79DDD3432A47B2F016577A028DA2" ma:contentTypeVersion="10" ma:contentTypeDescription="Create a new document." ma:contentTypeScope="" ma:versionID="ddcb2ab960379bd3da1d5d7020440576">
  <xsd:schema xmlns:xsd="http://www.w3.org/2001/XMLSchema" xmlns:xs="http://www.w3.org/2001/XMLSchema" xmlns:p="http://schemas.microsoft.com/office/2006/metadata/properties" xmlns:ns1="http://schemas.microsoft.com/sharepoint/v3" xmlns:ns2="184558f8-af87-4263-93aa-f50ede0629c7" xmlns:ns3="b707eef9-58af-45a0-9428-d5ca81f1c261" targetNamespace="http://schemas.microsoft.com/office/2006/metadata/properties" ma:root="true" ma:fieldsID="e5b58d6fc0ccfa12e542803caa884344" ns1:_="" ns2:_="" ns3:_="">
    <xsd:import namespace="http://schemas.microsoft.com/sharepoint/v3"/>
    <xsd:import namespace="184558f8-af87-4263-93aa-f50ede0629c7"/>
    <xsd:import namespace="b707eef9-58af-45a0-9428-d5ca81f1c2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558f8-af87-4263-93aa-f50ede062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7eef9-58af-45a0-9428-d5ca81f1c2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F0D5D-0A52-4617-9628-352434E12EF8}">
  <ds:schemaRefs>
    <ds:schemaRef ds:uri="http://schemas.microsoft.com/office/2006/metadata/properties"/>
    <ds:schemaRef ds:uri="http://schemas.microsoft.com/office/infopath/2007/PartnerControls"/>
    <ds:schemaRef ds:uri="b707eef9-58af-45a0-9428-d5ca81f1c261"/>
  </ds:schemaRefs>
</ds:datastoreItem>
</file>

<file path=customXml/itemProps2.xml><?xml version="1.0" encoding="utf-8"?>
<ds:datastoreItem xmlns:ds="http://schemas.openxmlformats.org/officeDocument/2006/customXml" ds:itemID="{50B044FA-EBA4-4A68-B43E-0F66DE590594}">
  <ds:schemaRefs>
    <ds:schemaRef ds:uri="http://schemas.microsoft.com/sharepoint/v3/contenttype/forms"/>
  </ds:schemaRefs>
</ds:datastoreItem>
</file>

<file path=customXml/itemProps3.xml><?xml version="1.0" encoding="utf-8"?>
<ds:datastoreItem xmlns:ds="http://schemas.openxmlformats.org/officeDocument/2006/customXml" ds:itemID="{5953D5F7-598E-4AD4-BA12-E9D463352406}">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F73D15E-92D6-413F-B0E4-6FFC18619BAE}">
  <ds:schemaRefs>
    <ds:schemaRef ds:uri="http://www.imanage.com/work/xmlschema"/>
  </ds:schemaRefs>
</ds:datastoreItem>
</file>

<file path=customXml/itemProps5.xml><?xml version="1.0" encoding="utf-8"?>
<ds:datastoreItem xmlns:ds="http://schemas.openxmlformats.org/officeDocument/2006/customXml" ds:itemID="{E9A3AF41-0706-411D-BF45-A09FEFE3EE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Nevada Heft</dc:creator>
  <cp:keywords/>
  <dc:description/>
  <cp:lastModifiedBy>Heft, Nevada</cp:lastModifiedBy>
  <cp:revision>18</cp:revision>
  <dcterms:created xsi:type="dcterms:W3CDTF">2023-08-31T11:46:00Z</dcterms:created>
  <dcterms:modified xsi:type="dcterms:W3CDTF">2024-11-07T22:04:08Z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3f625319-e15b-484f-8840-90ba3e9d783b</vt:lpwstr>
  </property>
  <property fmtid="{D5CDD505-2E9C-101B-9397-08002B2CF9AE}" pid="3" name="bjSaver">
    <vt:lpwstr>5zJtdvjKoNXD7d/6taj6fq+SKuJO9z+D</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uid="id_classification_eusecret" value="" /&gt;&lt;element uid="cefbaa69-3bfa-4b56-8d22-6839cb7b06d0" value="" /&gt;&lt;/sisl&gt;</vt:lpwstr>
  </property>
  <property fmtid="{D5CDD505-2E9C-101B-9397-08002B2CF9AE}" pid="6" name="bjDocumentSecurityLabel">
    <vt:lpwstr>Confidential</vt:lpwstr>
  </property>
  <property fmtid="{D5CDD505-2E9C-101B-9397-08002B2CF9AE}" pid="7" name="MerckMetadataExchange">
    <vt:lpwstr>!$MRK@Confidential-Footer-Left</vt:lpwstr>
  </property>
  <property fmtid="{D5CDD505-2E9C-101B-9397-08002B2CF9AE}" pid="8" name="ContentTypeId">
    <vt:lpwstr>0x010100D5FF79DDD3432A47B2F016577A028DA2</vt:lpwstr>
  </property>
  <property fmtid="{D5CDD505-2E9C-101B-9397-08002B2CF9AE}" pid="9" name="iManageFooter">
    <vt:lpwstr>#135859236v1&lt;DOCUMENTS&gt; - Joint Controllers 11.30.2022</vt:lpwstr>
  </property>
  <property fmtid="{D5CDD505-2E9C-101B-9397-08002B2CF9AE}" pid="10" name="MSIP_Label_794a5f65-4bbe-4bbe-bb66-e23e35795661_Enabled">
    <vt:lpwstr>true</vt:lpwstr>
  </property>
  <property fmtid="{D5CDD505-2E9C-101B-9397-08002B2CF9AE}" pid="11" name="MSIP_Label_794a5f65-4bbe-4bbe-bb66-e23e35795661_SetDate">
    <vt:lpwstr>2023-07-10T20:34:09Z</vt:lpwstr>
  </property>
  <property fmtid="{D5CDD505-2E9C-101B-9397-08002B2CF9AE}" pid="12" name="MSIP_Label_794a5f65-4bbe-4bbe-bb66-e23e35795661_Method">
    <vt:lpwstr>Privileged</vt:lpwstr>
  </property>
  <property fmtid="{D5CDD505-2E9C-101B-9397-08002B2CF9AE}" pid="13" name="MSIP_Label_794a5f65-4bbe-4bbe-bb66-e23e35795661_Name">
    <vt:lpwstr>794a5f65-4bbe-4bbe-bb66-e23e35795661</vt:lpwstr>
  </property>
  <property fmtid="{D5CDD505-2E9C-101B-9397-08002B2CF9AE}" pid="14" name="MSIP_Label_794a5f65-4bbe-4bbe-bb66-e23e35795661_SiteId">
    <vt:lpwstr>a00de4ec-48a8-43a6-be74-e31274e2060d</vt:lpwstr>
  </property>
  <property fmtid="{D5CDD505-2E9C-101B-9397-08002B2CF9AE}" pid="15" name="MSIP_Label_794a5f65-4bbe-4bbe-bb66-e23e35795661_ActionId">
    <vt:lpwstr>d5d03e7b-49db-44b4-b7a5-f0e57f7780a6</vt:lpwstr>
  </property>
  <property fmtid="{D5CDD505-2E9C-101B-9397-08002B2CF9AE}" pid="16" name="MSIP_Label_794a5f65-4bbe-4bbe-bb66-e23e35795661_ContentBits">
    <vt:lpwstr>1</vt:lpwstr>
  </property>
  <property fmtid="{D5CDD505-2E9C-101B-9397-08002B2CF9AE}" pid="17" name="MerckAIPLabel">
    <vt:lpwstr>Public</vt:lpwstr>
  </property>
  <property fmtid="{D5CDD505-2E9C-101B-9397-08002B2CF9AE}" pid="18" name="MerckAIPDataExchange">
    <vt:lpwstr>!MRKMIP@Public</vt:lpwstr>
  </property>
  <property fmtid="{D5CDD505-2E9C-101B-9397-08002B2CF9AE}" pid="19" name="_AdHocReviewCycleID">
    <vt:i4>1904710421</vt:i4>
  </property>
  <property fmtid="{D5CDD505-2E9C-101B-9397-08002B2CF9AE}" pid="20" name="_NewReviewCycle">
    <vt:lpwstr/>
  </property>
  <property fmtid="{D5CDD505-2E9C-101B-9397-08002B2CF9AE}" pid="21" name="_EmailSubject">
    <vt:lpwstr>[Confidential] RE: Privacy contracts translation service</vt:lpwstr>
  </property>
  <property fmtid="{D5CDD505-2E9C-101B-9397-08002B2CF9AE}" pid="22" name="_AuthorEmail">
    <vt:lpwstr>danny.steven.rueda@merck.com</vt:lpwstr>
  </property>
  <property fmtid="{D5CDD505-2E9C-101B-9397-08002B2CF9AE}" pid="23" name="_AuthorEmailDisplayName">
    <vt:lpwstr>Rueda, Danny</vt:lpwstr>
  </property>
  <property fmtid="{D5CDD505-2E9C-101B-9397-08002B2CF9AE}" pid="24" name="_PreviousAdHocReviewCycleID">
    <vt:i4>1071793373</vt:i4>
  </property>
  <property fmtid="{D5CDD505-2E9C-101B-9397-08002B2CF9AE}" pid="25" name="_ReviewingToolsShownOnce">
    <vt:lpwstr/>
  </property>
</Properties>
</file>