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0051E" w:rsidR="00186DAF" w:rsidP="3676AEA2" w:rsidRDefault="00186DAF" w14:paraId="2F46443C" w14:textId="63264AAE">
      <w:pPr>
        <w:pStyle w:val="BodyText"/>
        <w:spacing w:before="192" w:beforeLines="80" w:after="192" w:afterLines="80"/>
        <w:ind w:left="360" w:hanging="360"/>
        <w:jc w:val="center"/>
        <w:rPr>
          <w:rFonts w:ascii="Times New Roman" w:hAnsi="Times New Roman" w:eastAsia="Times New Roman" w:cs="Times New Roman"/>
          <w:b w:val="1"/>
          <w:bCs w:val="1"/>
          <w:sz w:val="22"/>
          <w:szCs w:val="22"/>
        </w:rPr>
      </w:pPr>
      <w:r w:rsidRPr="3676AEA2" w:rsidR="00186DAF">
        <w:rPr>
          <w:rFonts w:ascii="Times New Roman" w:hAnsi="Times New Roman" w:eastAsia="Times New Roman" w:cs="Times New Roman"/>
          <w:b w:val="1"/>
          <w:bCs w:val="1"/>
          <w:sz w:val="22"/>
          <w:szCs w:val="22"/>
        </w:rPr>
        <w:t>ERGÄNZUNG ZUR DATENVERARBEITUNG</w:t>
      </w:r>
    </w:p>
    <w:p w:rsidRPr="0040051E" w:rsidR="00C75531" w:rsidP="3676AEA2" w:rsidRDefault="00F90619" w14:paraId="4F0BCED3" w14:textId="3D5D8FA0">
      <w:pPr>
        <w:pStyle w:val="BodyText"/>
        <w:spacing w:before="192" w:beforeLines="80" w:after="192" w:afterLines="80"/>
        <w:ind w:left="360" w:hanging="360"/>
        <w:jc w:val="center"/>
        <w:rPr>
          <w:rFonts w:ascii="Times New Roman" w:hAnsi="Times New Roman" w:eastAsia="Times New Roman" w:cs="Times New Roman"/>
          <w:b w:val="1"/>
          <w:bCs w:val="1"/>
          <w:sz w:val="22"/>
          <w:szCs w:val="22"/>
        </w:rPr>
      </w:pPr>
      <w:bookmarkStart w:name="_Hlk139870032" w:id="0"/>
      <w:r w:rsidRPr="3676AEA2" w:rsidR="00F90619">
        <w:rPr>
          <w:rFonts w:ascii="Times New Roman" w:hAnsi="Times New Roman" w:eastAsia="Times New Roman" w:cs="Times New Roman"/>
          <w:b w:val="1"/>
          <w:bCs w:val="1"/>
          <w:sz w:val="22"/>
          <w:szCs w:val="22"/>
        </w:rPr>
        <w:t>Revisionsdatum: 12. März 2024</w:t>
      </w:r>
      <w:r w:rsidRPr="3676AEA2" w:rsidR="00C75531">
        <w:rPr>
          <w:rFonts w:ascii="Times New Roman" w:hAnsi="Times New Roman" w:eastAsia="Times New Roman" w:cs="Times New Roman"/>
          <w:b w:val="1"/>
          <w:bCs w:val="1"/>
          <w:sz w:val="22"/>
          <w:szCs w:val="22"/>
        </w:rPr>
        <w:t xml:space="preserve"> </w:t>
      </w:r>
      <w:r w:rsidRPr="3676AEA2" w:rsidR="001E0613">
        <w:rPr>
          <w:rFonts w:ascii="Times New Roman" w:hAnsi="Times New Roman" w:eastAsia="Times New Roman" w:cs="Times New Roman"/>
          <w:b w:val="1"/>
          <w:bCs w:val="1"/>
          <w:sz w:val="22"/>
          <w:szCs w:val="22"/>
        </w:rPr>
        <w:t xml:space="preserve"> </w:t>
      </w:r>
    </w:p>
    <w:bookmarkEnd w:id="0"/>
    <w:p w:rsidRPr="0040051E" w:rsidR="00186DAF" w:rsidP="3676AEA2" w:rsidRDefault="00CD7E79" w14:paraId="6A917B8E" w14:textId="1B4201BB">
      <w:pPr>
        <w:pStyle w:val="BodyText"/>
        <w:spacing w:before="192" w:beforeLines="80" w:after="192" w:afterLines="80"/>
        <w:rPr>
          <w:rFonts w:ascii="Times New Roman" w:hAnsi="Times New Roman" w:eastAsia="Times New Roman" w:cs="Times New Roman"/>
          <w:spacing w:val="-2"/>
          <w:sz w:val="22"/>
          <w:szCs w:val="22"/>
        </w:rPr>
      </w:pPr>
      <w:r w:rsidRPr="3676AEA2" w:rsidR="00CD7E79">
        <w:rPr>
          <w:rFonts w:ascii="Times New Roman" w:hAnsi="Times New Roman" w:eastAsia="Times New Roman" w:cs="Times New Roman"/>
          <w:spacing w:val="-2"/>
          <w:sz w:val="22"/>
          <w:szCs w:val="22"/>
        </w:rPr>
        <w:t>Für die Zwecke dieses Datenverarbeitungszusatzes („Data Processing Addendum, DPA</w:t>
      </w:r>
      <w:r w:rsidRPr="3676AEA2" w:rsidR="002173FD">
        <w:rPr>
          <w:rFonts w:ascii="Times New Roman" w:hAnsi="Times New Roman" w:eastAsia="Times New Roman" w:cs="Times New Roman"/>
          <w:spacing w:val="-2"/>
          <w:sz w:val="22"/>
          <w:szCs w:val="22"/>
        </w:rPr>
        <w:t>“</w:t>
      </w:r>
      <w:r w:rsidRPr="3676AEA2" w:rsidR="00CD7E79">
        <w:rPr>
          <w:rFonts w:ascii="Times New Roman" w:hAnsi="Times New Roman" w:eastAsia="Times New Roman" w:cs="Times New Roman"/>
          <w:spacing w:val="-2"/>
          <w:sz w:val="22"/>
          <w:szCs w:val="22"/>
        </w:rPr>
        <w:t>) wird das Unternehmen oder die Tochtergesellschaft von Merck Sharp &amp; Dohme LLC, das bzw. die die Vereinbarung oder eine andere Form der Vereinbarung, die auf dieses DPA verweist (die „Vereinbarung</w:t>
      </w:r>
      <w:r w:rsidRPr="3676AEA2" w:rsidR="002173FD">
        <w:rPr>
          <w:rFonts w:ascii="Times New Roman" w:hAnsi="Times New Roman" w:eastAsia="Times New Roman" w:cs="Times New Roman"/>
          <w:spacing w:val="-2"/>
          <w:sz w:val="22"/>
          <w:szCs w:val="22"/>
        </w:rPr>
        <w:t>“</w:t>
      </w:r>
      <w:r w:rsidRPr="3676AEA2" w:rsidR="00CD7E79">
        <w:rPr>
          <w:rFonts w:ascii="Times New Roman" w:hAnsi="Times New Roman" w:eastAsia="Times New Roman" w:cs="Times New Roman"/>
          <w:spacing w:val="-2"/>
          <w:sz w:val="22"/>
          <w:szCs w:val="22"/>
        </w:rPr>
        <w:t>), ausführt, als „Unternehmen</w:t>
      </w:r>
      <w:r w:rsidRPr="3676AEA2" w:rsidR="002173FD">
        <w:rPr>
          <w:rFonts w:ascii="Times New Roman" w:hAnsi="Times New Roman" w:eastAsia="Times New Roman" w:cs="Times New Roman"/>
          <w:spacing w:val="-2"/>
          <w:sz w:val="22"/>
          <w:szCs w:val="22"/>
        </w:rPr>
        <w:t>“</w:t>
      </w:r>
      <w:r w:rsidRPr="3676AEA2" w:rsidR="00CD7E79">
        <w:rPr>
          <w:rFonts w:ascii="Times New Roman" w:hAnsi="Times New Roman" w:eastAsia="Times New Roman" w:cs="Times New Roman"/>
          <w:spacing w:val="-2"/>
          <w:sz w:val="22"/>
          <w:szCs w:val="22"/>
        </w:rPr>
        <w:t xml:space="preserve"> bezeichnet und alle anderen Parteien einer solchen Vereinbarung werden gemeinsam als „Anbieter</w:t>
      </w:r>
      <w:r w:rsidRPr="3676AEA2" w:rsidR="002173FD">
        <w:rPr>
          <w:rFonts w:ascii="Times New Roman" w:hAnsi="Times New Roman" w:eastAsia="Times New Roman" w:cs="Times New Roman"/>
          <w:spacing w:val="-2"/>
          <w:sz w:val="22"/>
          <w:szCs w:val="22"/>
        </w:rPr>
        <w:t>“</w:t>
      </w:r>
      <w:r w:rsidRPr="3676AEA2" w:rsidR="00CD7E79">
        <w:rPr>
          <w:rFonts w:ascii="Times New Roman" w:hAnsi="Times New Roman" w:eastAsia="Times New Roman" w:cs="Times New Roman"/>
          <w:spacing w:val="-2"/>
          <w:sz w:val="22"/>
          <w:szCs w:val="22"/>
        </w:rPr>
        <w:t xml:space="preserve"> bezeichnet. Das Unternehmen und der Anbieter werden jeweils als „Partei“ und gemeinsam als</w:t>
      </w:r>
      <w:r w:rsidRPr="3676AEA2" w:rsidR="002F4B97">
        <w:rPr>
          <w:rFonts w:ascii="Times New Roman" w:hAnsi="Times New Roman" w:eastAsia="Times New Roman" w:cs="Times New Roman"/>
          <w:spacing w:val="-2"/>
          <w:sz w:val="22"/>
          <w:szCs w:val="22"/>
        </w:rPr>
        <w:t> </w:t>
      </w:r>
      <w:r w:rsidRPr="3676AEA2" w:rsidR="00CD7E79">
        <w:rPr>
          <w:rFonts w:ascii="Times New Roman" w:hAnsi="Times New Roman" w:eastAsia="Times New Roman" w:cs="Times New Roman"/>
          <w:spacing w:val="-2"/>
          <w:sz w:val="22"/>
          <w:szCs w:val="22"/>
        </w:rPr>
        <w:t>„die Parteien“ bezeichnet.</w:t>
      </w:r>
    </w:p>
    <w:p w:rsidRPr="0040051E" w:rsidR="00186DAF" w:rsidP="3676AEA2" w:rsidRDefault="00186DAF" w14:paraId="6A3DF8E2" w14:textId="77777777">
      <w:pPr>
        <w:pStyle w:val="BodyText"/>
        <w:spacing w:before="192" w:beforeLines="80" w:after="192" w:afterLines="80"/>
        <w:ind w:left="360" w:hanging="360"/>
        <w:rPr>
          <w:rFonts w:ascii="Times New Roman" w:hAnsi="Times New Roman" w:eastAsia="Times New Roman" w:cs="Times New Roman"/>
          <w:sz w:val="22"/>
          <w:szCs w:val="22"/>
          <w:u w:val="single"/>
        </w:rPr>
      </w:pPr>
      <w:r w:rsidRPr="3676AEA2" w:rsidR="00186DAF">
        <w:rPr>
          <w:rFonts w:ascii="Times New Roman" w:hAnsi="Times New Roman" w:eastAsia="Times New Roman" w:cs="Times New Roman"/>
          <w:sz w:val="22"/>
          <w:szCs w:val="22"/>
          <w:u w:val="single"/>
        </w:rPr>
        <w:t>Hintergrund</w:t>
      </w:r>
    </w:p>
    <w:p w:rsidRPr="0040051E" w:rsidR="00186DAF" w:rsidP="3676AEA2" w:rsidRDefault="00186DAF" w14:paraId="2218086B" w14:textId="3C159F54">
      <w:pPr>
        <w:pStyle w:val="BodyText"/>
        <w:numPr>
          <w:ilvl w:val="0"/>
          <w:numId w:val="18"/>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Die Parteien haben die Vereinbarung geschlossen und können zusammen mit der Vereinbarung einen</w:t>
      </w:r>
      <w:r w:rsidRPr="3676AEA2" w:rsidR="00050406">
        <w:rPr>
          <w:rFonts w:ascii="Times New Roman" w:hAnsi="Times New Roman" w:eastAsia="Times New Roman" w:cs="Times New Roman"/>
          <w:sz w:val="22"/>
          <w:szCs w:val="22"/>
        </w:rPr>
        <w:t> </w:t>
      </w:r>
      <w:r w:rsidRPr="3676AEA2" w:rsidR="00186DAF">
        <w:rPr>
          <w:rFonts w:ascii="Times New Roman" w:hAnsi="Times New Roman" w:eastAsia="Times New Roman" w:cs="Times New Roman"/>
          <w:sz w:val="22"/>
          <w:szCs w:val="22"/>
        </w:rPr>
        <w:t>oder mehrere Kauf- oder Arbeitsaufträge, Projektvereinbarungen, Anhänge von Projektplänen, Leistungsbeschreibungen, Arbeitsaufträge oder andere Dienstleistungsbedingungen (jeweils eine „Leistungsbeschreibung</w:t>
      </w:r>
      <w:r w:rsidRPr="3676AEA2" w:rsidR="002173FD">
        <w:rPr>
          <w:rFonts w:ascii="Times New Roman" w:hAnsi="Times New Roman" w:eastAsia="Times New Roman" w:cs="Times New Roman"/>
          <w:sz w:val="22"/>
          <w:szCs w:val="22"/>
        </w:rPr>
        <w:t>“</w:t>
      </w:r>
      <w:r w:rsidRPr="3676AEA2" w:rsidR="00186DAF">
        <w:rPr>
          <w:rFonts w:ascii="Times New Roman" w:hAnsi="Times New Roman" w:eastAsia="Times New Roman" w:cs="Times New Roman"/>
          <w:sz w:val="22"/>
          <w:szCs w:val="22"/>
        </w:rPr>
        <w:t>) abschließen, die die darin vorgesehenen Dienstleistungen (die „Dienstleistungen</w:t>
      </w:r>
      <w:r w:rsidRPr="3676AEA2" w:rsidR="002173FD">
        <w:rPr>
          <w:rFonts w:ascii="Times New Roman" w:hAnsi="Times New Roman" w:eastAsia="Times New Roman" w:cs="Times New Roman"/>
          <w:sz w:val="22"/>
          <w:szCs w:val="22"/>
        </w:rPr>
        <w:t>“</w:t>
      </w:r>
      <w:r w:rsidRPr="3676AEA2" w:rsidR="00186DAF">
        <w:rPr>
          <w:rFonts w:ascii="Times New Roman" w:hAnsi="Times New Roman" w:eastAsia="Times New Roman" w:cs="Times New Roman"/>
          <w:sz w:val="22"/>
          <w:szCs w:val="22"/>
        </w:rPr>
        <w:t xml:space="preserve">) regeln. </w:t>
      </w:r>
    </w:p>
    <w:p w:rsidRPr="0040051E" w:rsidR="00186DAF" w:rsidP="3676AEA2" w:rsidRDefault="00186DAF" w14:paraId="0F07A33A" w14:textId="4631BF64">
      <w:pPr>
        <w:pStyle w:val="BodyText"/>
        <w:numPr>
          <w:ilvl w:val="0"/>
          <w:numId w:val="18"/>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Die Parteien beabsichtigen, die Bedingungen der Vereinbarung zu ergänzen, um sicherzustellen, dass</w:t>
      </w:r>
      <w:r w:rsidRPr="3676AEA2" w:rsidR="00050406">
        <w:rPr>
          <w:rFonts w:ascii="Times New Roman" w:hAnsi="Times New Roman" w:eastAsia="Times New Roman" w:cs="Times New Roman"/>
          <w:sz w:val="22"/>
          <w:szCs w:val="22"/>
        </w:rPr>
        <w:t> </w:t>
      </w:r>
      <w:r w:rsidRPr="3676AEA2" w:rsidR="00186DAF">
        <w:rPr>
          <w:rFonts w:ascii="Times New Roman" w:hAnsi="Times New Roman" w:eastAsia="Times New Roman" w:cs="Times New Roman"/>
          <w:sz w:val="22"/>
          <w:szCs w:val="22"/>
        </w:rPr>
        <w:t>die gesamte Verarbeitung personenbezogener Daten im Zusammenhang mit der Vereinbarung in</w:t>
      </w:r>
      <w:r w:rsidRPr="3676AEA2" w:rsidR="00050406">
        <w:rPr>
          <w:rFonts w:ascii="Times New Roman" w:hAnsi="Times New Roman" w:eastAsia="Times New Roman" w:cs="Times New Roman"/>
          <w:sz w:val="22"/>
          <w:szCs w:val="22"/>
        </w:rPr>
        <w:t> </w:t>
      </w:r>
      <w:r w:rsidRPr="3676AEA2" w:rsidR="00186DAF">
        <w:rPr>
          <w:rFonts w:ascii="Times New Roman" w:hAnsi="Times New Roman" w:eastAsia="Times New Roman" w:cs="Times New Roman"/>
          <w:sz w:val="22"/>
          <w:szCs w:val="22"/>
        </w:rPr>
        <w:t xml:space="preserve">Übereinstimmung mit dem Datenschutzrecht erfolgt. </w:t>
      </w:r>
    </w:p>
    <w:p w:rsidRPr="0040051E" w:rsidR="00186DAF" w:rsidP="3676AEA2" w:rsidRDefault="00186DAF" w14:paraId="099B464D" w14:textId="77777777">
      <w:pPr>
        <w:pStyle w:val="BodyText"/>
        <w:spacing w:before="192" w:beforeLines="80" w:after="192" w:afterLines="80"/>
        <w:ind w:left="360" w:hanging="360"/>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u w:val="single"/>
        </w:rPr>
        <w:t>Die Parteien vereinbaren</w:t>
      </w:r>
      <w:r w:rsidRPr="3676AEA2" w:rsidR="00186DAF">
        <w:rPr>
          <w:rFonts w:ascii="Times New Roman" w:hAnsi="Times New Roman" w:eastAsia="Times New Roman" w:cs="Times New Roman"/>
          <w:sz w:val="22"/>
          <w:szCs w:val="22"/>
        </w:rPr>
        <w:t>:</w:t>
      </w:r>
    </w:p>
    <w:p w:rsidRPr="0040051E" w:rsidR="00186DAF" w:rsidP="3676AEA2" w:rsidRDefault="00186DAF" w14:paraId="73A08BCD" w14:textId="371BEC08">
      <w:pPr>
        <w:pStyle w:val="BodyText"/>
        <w:numPr>
          <w:ilvl w:val="0"/>
          <w:numId w:val="32"/>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i w:val="1"/>
          <w:iCs w:val="1"/>
          <w:sz w:val="22"/>
          <w:szCs w:val="22"/>
        </w:rPr>
        <w:t>Datenverarbeitungstätigkeiten</w:t>
      </w:r>
      <w:r w:rsidRPr="3676AEA2" w:rsidR="00186DAF">
        <w:rPr>
          <w:rFonts w:ascii="Times New Roman" w:hAnsi="Times New Roman" w:eastAsia="Times New Roman" w:cs="Times New Roman"/>
          <w:sz w:val="22"/>
          <w:szCs w:val="22"/>
        </w:rPr>
        <w:t>. In Bezug auf personenbezogene Daten, die im Zusammenhang mit</w:t>
      </w:r>
      <w:r w:rsidRPr="3676AEA2" w:rsidR="002F4B97">
        <w:rPr>
          <w:rFonts w:ascii="Times New Roman" w:hAnsi="Times New Roman" w:eastAsia="Times New Roman" w:cs="Times New Roman"/>
          <w:sz w:val="22"/>
          <w:szCs w:val="22"/>
        </w:rPr>
        <w:t> </w:t>
      </w:r>
      <w:r w:rsidRPr="3676AEA2" w:rsidR="00186DAF">
        <w:rPr>
          <w:rFonts w:ascii="Times New Roman" w:hAnsi="Times New Roman" w:eastAsia="Times New Roman" w:cs="Times New Roman"/>
          <w:sz w:val="22"/>
          <w:szCs w:val="22"/>
        </w:rPr>
        <w:t>der Vereinbarung verarbeitet werden, sind Gegenstand, Art, Zweck und Dauer der Verarbeitung, die</w:t>
      </w:r>
      <w:r w:rsidRPr="3676AEA2" w:rsidR="00050406">
        <w:rPr>
          <w:rFonts w:ascii="Times New Roman" w:hAnsi="Times New Roman" w:eastAsia="Times New Roman" w:cs="Times New Roman"/>
          <w:sz w:val="22"/>
          <w:szCs w:val="22"/>
        </w:rPr>
        <w:t> </w:t>
      </w:r>
      <w:r w:rsidRPr="3676AEA2" w:rsidR="00186DAF">
        <w:rPr>
          <w:rFonts w:ascii="Times New Roman" w:hAnsi="Times New Roman" w:eastAsia="Times New Roman" w:cs="Times New Roman"/>
          <w:sz w:val="22"/>
          <w:szCs w:val="22"/>
        </w:rPr>
        <w:t>Kategorien der betroffenen Personen und die Kategorien der personenbezogenen Daten im Anhang der Vereinbarung mit dem Titel „Datenverarbeitung im Einzelnen</w:t>
      </w:r>
      <w:r w:rsidRPr="3676AEA2" w:rsidR="002173FD">
        <w:rPr>
          <w:rFonts w:ascii="Times New Roman" w:hAnsi="Times New Roman" w:eastAsia="Times New Roman" w:cs="Times New Roman"/>
          <w:sz w:val="22"/>
          <w:szCs w:val="22"/>
        </w:rPr>
        <w:t>“</w:t>
      </w:r>
      <w:r w:rsidRPr="3676AEA2" w:rsidR="00186DAF">
        <w:rPr>
          <w:rFonts w:ascii="Times New Roman" w:hAnsi="Times New Roman" w:eastAsia="Times New Roman" w:cs="Times New Roman"/>
          <w:sz w:val="22"/>
          <w:szCs w:val="22"/>
        </w:rPr>
        <w:t xml:space="preserve"> aufgeführt.</w:t>
      </w:r>
    </w:p>
    <w:p w:rsidRPr="0040051E" w:rsidR="005C07CE" w:rsidP="3676AEA2" w:rsidRDefault="00747433" w14:paraId="5A16425E" w14:textId="383D68EE">
      <w:pPr>
        <w:pStyle w:val="BodyText"/>
        <w:numPr>
          <w:ilvl w:val="0"/>
          <w:numId w:val="32"/>
        </w:numPr>
        <w:spacing w:before="192" w:beforeLines="80" w:after="192" w:afterLines="80" w:line="240" w:lineRule="auto"/>
        <w:rPr>
          <w:rFonts w:ascii="Times New Roman" w:hAnsi="Times New Roman" w:eastAsia="Times New Roman" w:cs="Times New Roman"/>
          <w:sz w:val="22"/>
          <w:szCs w:val="22"/>
        </w:rPr>
      </w:pPr>
      <w:r w:rsidRPr="3676AEA2" w:rsidR="00747433">
        <w:rPr>
          <w:rFonts w:ascii="Times New Roman" w:hAnsi="Times New Roman" w:eastAsia="Times New Roman" w:cs="Times New Roman"/>
          <w:i w:val="1"/>
          <w:iCs w:val="1"/>
          <w:sz w:val="22"/>
          <w:szCs w:val="22"/>
        </w:rPr>
        <w:t>Anwendbarkeit</w:t>
      </w:r>
      <w:r w:rsidRPr="3676AEA2" w:rsidR="00747433">
        <w:rPr>
          <w:rFonts w:ascii="Times New Roman" w:hAnsi="Times New Roman" w:eastAsia="Times New Roman" w:cs="Times New Roman"/>
          <w:sz w:val="22"/>
          <w:szCs w:val="22"/>
        </w:rPr>
        <w:t>. Die Bestimmungen dieser DPA gelten für jeden Arbeitsauftrag im Rahmen der Vereinbarung, sofern in diesem Arbeitsauftrag nichts anderes festgelegt ist.</w:t>
      </w:r>
    </w:p>
    <w:p w:rsidRPr="0040051E" w:rsidR="002D14D6" w:rsidP="3676AEA2" w:rsidRDefault="00186DAF" w14:paraId="0D516B93" w14:textId="2EEAE734">
      <w:pPr>
        <w:pStyle w:val="BodyText"/>
        <w:numPr>
          <w:ilvl w:val="0"/>
          <w:numId w:val="32"/>
        </w:numPr>
        <w:spacing w:before="192" w:beforeLines="80" w:after="192" w:afterLines="80" w:line="240" w:lineRule="auto"/>
        <w:rPr>
          <w:rFonts w:ascii="Times New Roman" w:hAnsi="Times New Roman" w:eastAsia="Times New Roman" w:cs="Times New Roman"/>
          <w:spacing w:val="-2"/>
          <w:sz w:val="22"/>
          <w:szCs w:val="22"/>
        </w:rPr>
      </w:pPr>
      <w:r w:rsidRPr="3676AEA2" w:rsidR="00186DAF">
        <w:rPr>
          <w:rFonts w:ascii="Times New Roman" w:hAnsi="Times New Roman" w:eastAsia="Times New Roman" w:cs="Times New Roman"/>
          <w:i w:val="1"/>
          <w:iCs w:val="1"/>
          <w:spacing w:val="-2"/>
          <w:sz w:val="22"/>
          <w:szCs w:val="22"/>
        </w:rPr>
        <w:t>Pflichten des Anbieters</w:t>
      </w:r>
      <w:r w:rsidRPr="3676AEA2" w:rsidR="00186DAF">
        <w:rPr>
          <w:rFonts w:ascii="Times New Roman" w:hAnsi="Times New Roman" w:eastAsia="Times New Roman" w:cs="Times New Roman"/>
          <w:spacing w:val="-2"/>
          <w:sz w:val="22"/>
          <w:szCs w:val="22"/>
        </w:rPr>
        <w:t xml:space="preserve">. Bei der Verarbeitung personenbezogener Daten im Namen des Unternehmens in Verbindung mit der Vereinbarung </w:t>
      </w:r>
    </w:p>
    <w:p w:rsidRPr="0040051E" w:rsidR="00973579" w:rsidP="3676AEA2" w:rsidRDefault="00973579" w14:paraId="73232C25" w14:textId="6BC1FEE0">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973579">
        <w:rPr>
          <w:rFonts w:ascii="Times New Roman" w:hAnsi="Times New Roman" w:eastAsia="Times New Roman" w:cs="Times New Roman"/>
          <w:sz w:val="22"/>
          <w:szCs w:val="22"/>
        </w:rPr>
        <w:t>muss</w:t>
      </w:r>
      <w:r w:rsidRPr="3676AEA2" w:rsidR="00973579">
        <w:rPr>
          <w:rFonts w:ascii="Times New Roman" w:hAnsi="Times New Roman" w:eastAsia="Times New Roman" w:cs="Times New Roman"/>
          <w:sz w:val="22"/>
          <w:szCs w:val="22"/>
        </w:rPr>
        <w:t xml:space="preserve"> der Anbieter die Datenschutzgesetze und seine Verpflichtungen aus dieser DPA einhalten. Kann der Anbieter diesen Verpflichtungen nicht nachkommen, muss er das Unternehmen unverzüglich benachrichtigen und alle angemessenen und geeigneten Maßnahmen ergreifen, die das Unternehmen für notwendig hält, um die Nichteinhaltung zu beheben.</w:t>
      </w:r>
    </w:p>
    <w:p w:rsidRPr="0040051E" w:rsidR="00186DAF" w:rsidP="3676AEA2" w:rsidRDefault="00186DAF" w14:paraId="5109813F" w14:textId="19AD0E85">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darf</w:t>
      </w:r>
      <w:r w:rsidRPr="3676AEA2" w:rsidR="00186DAF">
        <w:rPr>
          <w:rFonts w:ascii="Times New Roman" w:hAnsi="Times New Roman" w:eastAsia="Times New Roman" w:cs="Times New Roman"/>
          <w:sz w:val="22"/>
          <w:szCs w:val="22"/>
        </w:rPr>
        <w:t xml:space="preserve"> der Anbieter personenbezogene Daten nur auf dokumentierte Anweisungen des Unternehmens hin verarbeiten, einschließlich der Erfüllung seiner Verpflichtungen aus der Vereinbarung und dieser DPA,</w:t>
      </w:r>
      <w:bookmarkStart w:name="_Hlk948618" w:id="1"/>
      <w:r w:rsidRPr="3676AEA2" w:rsidR="00186DAF">
        <w:rPr>
          <w:rFonts w:ascii="Times New Roman" w:hAnsi="Times New Roman" w:eastAsia="Times New Roman" w:cs="Times New Roman"/>
          <w:sz w:val="22"/>
          <w:szCs w:val="22"/>
        </w:rPr>
        <w:t xml:space="preserve"> es sei denn, das geltende Recht schreibt etwas anderes vor. In diesem Fall informiert der Anbieter das Unternehmen vor Beginn der Verarbeitung über diese gesetzliche Vorschrift</w:t>
      </w:r>
      <w:bookmarkEnd w:id="1"/>
      <w:r w:rsidRPr="3676AEA2" w:rsidR="00186DAF">
        <w:rPr>
          <w:rFonts w:ascii="Times New Roman" w:hAnsi="Times New Roman" w:eastAsia="Times New Roman" w:cs="Times New Roman"/>
          <w:sz w:val="22"/>
          <w:szCs w:val="22"/>
        </w:rPr>
        <w:t>, es sei denn, das geltende Recht verbietet dies, und er bemüht sich nach besten Kräften, Art und Umfang der</w:t>
      </w:r>
      <w:r w:rsidRPr="3676AEA2" w:rsidR="00050406">
        <w:rPr>
          <w:rFonts w:ascii="Times New Roman" w:hAnsi="Times New Roman" w:eastAsia="Times New Roman" w:cs="Times New Roman"/>
          <w:sz w:val="22"/>
          <w:szCs w:val="22"/>
        </w:rPr>
        <w:t> </w:t>
      </w:r>
      <w:r w:rsidRPr="3676AEA2" w:rsidR="00186DAF">
        <w:rPr>
          <w:rFonts w:ascii="Times New Roman" w:hAnsi="Times New Roman" w:eastAsia="Times New Roman" w:cs="Times New Roman"/>
          <w:sz w:val="22"/>
          <w:szCs w:val="22"/>
        </w:rPr>
        <w:t>erforderlichen Offenlegung zu begrenzen und nur so viele personenbezogene Daten offenzulegen, wie zur Einhaltung des geltenden Rechts erforderlich sind.</w:t>
      </w:r>
      <w:bookmarkStart w:name="_Hlk6488557" w:id="2"/>
    </w:p>
    <w:p w:rsidRPr="0040051E" w:rsidR="00186DAF" w:rsidP="3676AEA2" w:rsidRDefault="00186DAF" w14:paraId="74B024BA" w14:textId="34EC4C04">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darf</w:t>
      </w:r>
      <w:r w:rsidRPr="3676AEA2" w:rsidR="00186DAF">
        <w:rPr>
          <w:rFonts w:ascii="Times New Roman" w:hAnsi="Times New Roman" w:eastAsia="Times New Roman" w:cs="Times New Roman"/>
          <w:sz w:val="22"/>
          <w:szCs w:val="22"/>
        </w:rPr>
        <w:t xml:space="preserve"> der Anbieter personenbezogene Daten nur in dem Maße verarbeiten, </w:t>
      </w:r>
      <w:bookmarkEnd w:id="2"/>
      <w:r w:rsidRPr="3676AEA2" w:rsidR="00186DAF">
        <w:rPr>
          <w:rFonts w:ascii="Times New Roman" w:hAnsi="Times New Roman" w:eastAsia="Times New Roman" w:cs="Times New Roman"/>
          <w:sz w:val="22"/>
          <w:szCs w:val="22"/>
        </w:rPr>
        <w:t>wie es für die Erbringung der Dienstleistungen erforderlich ist, d. h. er darf personenbezogene Daten nicht mit anderen Daten kombinieren, es sei denn, das Unternehmen hat dies ausdrücklich schriftlich erlaubt.</w:t>
      </w:r>
    </w:p>
    <w:p w:rsidRPr="002F4B97" w:rsidR="00186DAF" w:rsidP="3676AEA2" w:rsidRDefault="00186DAF" w14:paraId="247DE16B" w14:textId="7B546C48">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muss</w:t>
      </w:r>
      <w:r w:rsidRPr="3676AEA2" w:rsidR="00186DAF">
        <w:rPr>
          <w:rFonts w:ascii="Times New Roman" w:hAnsi="Times New Roman" w:eastAsia="Times New Roman" w:cs="Times New Roman"/>
          <w:sz w:val="22"/>
          <w:szCs w:val="22"/>
        </w:rPr>
        <w:t xml:space="preserve"> der Anbieter das Unternehmen unverzüglich informieren, wenn er der Meinung ist, dass eine</w:t>
      </w:r>
      <w:r w:rsidRPr="3676AEA2" w:rsidR="002F4B97">
        <w:rPr>
          <w:rFonts w:ascii="Times New Roman" w:hAnsi="Times New Roman" w:eastAsia="Times New Roman" w:cs="Times New Roman"/>
          <w:sz w:val="22"/>
          <w:szCs w:val="22"/>
        </w:rPr>
        <w:t> </w:t>
      </w:r>
      <w:r w:rsidRPr="3676AEA2" w:rsidR="00186DAF">
        <w:rPr>
          <w:rFonts w:ascii="Times New Roman" w:hAnsi="Times New Roman" w:eastAsia="Times New Roman" w:cs="Times New Roman"/>
          <w:sz w:val="22"/>
          <w:szCs w:val="22"/>
        </w:rPr>
        <w:t>Anweisung des Unternehmens zur Verarbeitung personenbezogener Daten gegen das Datenschutzrecht verstößt.</w:t>
      </w:r>
      <w:bookmarkStart w:name="_Hlk3956440" w:id="3"/>
    </w:p>
    <w:p w:rsidRPr="0040051E" w:rsidR="00186DAF" w:rsidP="3676AEA2" w:rsidRDefault="00186DAF" w14:paraId="0C3D8471" w14:textId="7B9EDF7D">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 xml:space="preserve">stellt der Anbieter sicher, dass das Personal des Anbieters, das Zugang zu personenbezogenen Daten hat, (i) den Zugang zu den personenbezogenen Daten benötigt, um die Dienstleistungen zu erbringen, (ii) die personenbezogenen Daten nur in dem Umfang verarbeitet, wie es nach dieser DPA zulässig ist, und (iii) Verpflichtungen unterliegt, die den Schutz der personenbezogenen Daten mindestens ebenso gewährleisten wie die Verpflichtungen des Anbieters nach dieser DPA und dem </w:t>
      </w:r>
      <w:bookmarkEnd w:id="3"/>
      <w:r w:rsidRPr="3676AEA2" w:rsidR="00186DAF">
        <w:rPr>
          <w:rFonts w:ascii="Times New Roman" w:hAnsi="Times New Roman" w:eastAsia="Times New Roman" w:cs="Times New Roman"/>
          <w:sz w:val="22"/>
          <w:szCs w:val="22"/>
        </w:rPr>
        <w:t>Vertrag.</w:t>
      </w:r>
      <w:bookmarkStart w:name="_Hlk525719761" w:id="4"/>
      <w:bookmarkStart w:name="_Hlk528920751" w:id="5"/>
    </w:p>
    <w:p w:rsidRPr="0040051E" w:rsidR="00941142" w:rsidP="3676AEA2" w:rsidRDefault="00186DAF" w14:paraId="44F6D9FC" w14:textId="06A81CD7">
      <w:pPr>
        <w:pStyle w:val="ListParagraph"/>
        <w:numPr>
          <w:ilvl w:val="1"/>
          <w:numId w:val="29"/>
        </w:numPr>
        <w:rPr>
          <w:rFonts w:ascii="Times New Roman" w:hAnsi="Times New Roman" w:eastAsia="Times New Roman" w:cs="Times New Roman"/>
          <w:spacing w:val="-2"/>
          <w:sz w:val="22"/>
          <w:szCs w:val="22"/>
        </w:rPr>
      </w:pPr>
      <w:r w:rsidRPr="3676AEA2" w:rsidR="00186DAF">
        <w:rPr>
          <w:rFonts w:ascii="Times New Roman" w:hAnsi="Times New Roman" w:eastAsia="Times New Roman" w:cs="Times New Roman"/>
          <w:spacing w:val="-2"/>
          <w:sz w:val="22"/>
          <w:szCs w:val="22"/>
        </w:rPr>
        <w:t>darf</w:t>
      </w:r>
      <w:r w:rsidRPr="3676AEA2" w:rsidR="00186DAF">
        <w:rPr>
          <w:rFonts w:ascii="Times New Roman" w:hAnsi="Times New Roman" w:eastAsia="Times New Roman" w:cs="Times New Roman"/>
          <w:spacing w:val="-2"/>
          <w:sz w:val="22"/>
          <w:szCs w:val="22"/>
        </w:rPr>
        <w:t xml:space="preserve"> personenbezogene Daten nur nach vorheriger schriftlicher Zustimmung des Unternehmens an</w:t>
      </w:r>
      <w:r w:rsidRPr="3676AEA2" w:rsidR="00050406">
        <w:rPr>
          <w:rFonts w:ascii="Times New Roman" w:hAnsi="Times New Roman" w:eastAsia="Times New Roman" w:cs="Times New Roman"/>
          <w:spacing w:val="-2"/>
          <w:sz w:val="22"/>
          <w:szCs w:val="22"/>
        </w:rPr>
        <w:t> </w:t>
      </w:r>
      <w:r w:rsidRPr="3676AEA2" w:rsidR="00186DAF">
        <w:rPr>
          <w:rFonts w:ascii="Times New Roman" w:hAnsi="Times New Roman" w:eastAsia="Times New Roman" w:cs="Times New Roman"/>
          <w:spacing w:val="-2"/>
          <w:sz w:val="22"/>
          <w:szCs w:val="22"/>
        </w:rPr>
        <w:t xml:space="preserve">Dritte weitergeben oder übertragen oder einen Beauftragten oder Nachunternehmer mit der Verarbeitung im Zusammenhang mit der Vereinbarung beauftragen </w:t>
      </w:r>
      <w:bookmarkStart w:name="_Hlk24881660" w:id="6"/>
      <w:bookmarkStart w:name="_Hlk3786725" w:id="7"/>
      <w:r w:rsidRPr="3676AEA2" w:rsidR="00186DAF">
        <w:rPr>
          <w:rFonts w:ascii="Times New Roman" w:hAnsi="Times New Roman" w:eastAsia="Times New Roman" w:cs="Times New Roman"/>
          <w:spacing w:val="-2"/>
          <w:sz w:val="22"/>
          <w:szCs w:val="22"/>
        </w:rPr>
        <w:t>(jeder dieser Beauftragten oder Nachunternehmer ist ein „Unterauftragsverarbeiter</w:t>
      </w:r>
      <w:r w:rsidRPr="3676AEA2" w:rsidR="002173FD">
        <w:rPr>
          <w:rFonts w:ascii="Times New Roman" w:hAnsi="Times New Roman" w:eastAsia="Times New Roman" w:cs="Times New Roman"/>
          <w:spacing w:val="-2"/>
          <w:sz w:val="22"/>
          <w:szCs w:val="22"/>
        </w:rPr>
        <w:t>“</w:t>
      </w:r>
      <w:r w:rsidRPr="3676AEA2" w:rsidR="00186DAF">
        <w:rPr>
          <w:rFonts w:ascii="Times New Roman" w:hAnsi="Times New Roman" w:eastAsia="Times New Roman" w:cs="Times New Roman"/>
          <w:spacing w:val="-2"/>
          <w:sz w:val="22"/>
          <w:szCs w:val="22"/>
        </w:rPr>
        <w:t>). Eine aktuelle Liste der Unterauftragsverarbeiter, für die das Unternehmen zum Zeitpunkt dieser DPA seine vorherige schriftliche Zustimmung erteilt hat, ist in der Anlage zur Vereinbarung mit dem Titel „Die Datenverarbeitung im Einzelnen</w:t>
      </w:r>
      <w:r w:rsidRPr="3676AEA2" w:rsidR="002173FD">
        <w:rPr>
          <w:rFonts w:ascii="Times New Roman" w:hAnsi="Times New Roman" w:eastAsia="Times New Roman" w:cs="Times New Roman"/>
          <w:spacing w:val="-2"/>
          <w:sz w:val="22"/>
          <w:szCs w:val="22"/>
        </w:rPr>
        <w:t>“</w:t>
      </w:r>
      <w:r w:rsidRPr="3676AEA2" w:rsidR="00186DAF">
        <w:rPr>
          <w:rFonts w:ascii="Times New Roman" w:hAnsi="Times New Roman" w:eastAsia="Times New Roman" w:cs="Times New Roman"/>
          <w:spacing w:val="-2"/>
          <w:sz w:val="22"/>
          <w:szCs w:val="22"/>
        </w:rPr>
        <w:t xml:space="preserve"> aufgeführt. Bei der Beauftragung eines Unterauftragsverarbeiters</w:t>
      </w:r>
    </w:p>
    <w:p w:rsidRPr="0040051E" w:rsidR="00941142" w:rsidP="3676AEA2" w:rsidRDefault="00186DAF" w14:paraId="48E1ACC0" w14:textId="7185CDCC">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 xml:space="preserve">muss die Offenlegung bzw. Übermittlung zudem vernünftigerweise notwendig sein, um die Dienstleistungen im Rahmen der </w:t>
      </w:r>
      <w:bookmarkEnd w:id="6"/>
      <w:r w:rsidRPr="3676AEA2" w:rsidR="00186DAF">
        <w:rPr>
          <w:rFonts w:ascii="Times New Roman" w:hAnsi="Times New Roman" w:eastAsia="Times New Roman" w:cs="Times New Roman"/>
          <w:sz w:val="22"/>
          <w:szCs w:val="22"/>
        </w:rPr>
        <w:t>Vereinbarung</w:t>
      </w:r>
      <w:bookmarkStart w:name="_Hlk5631290" w:id="8"/>
      <w:r w:rsidRPr="3676AEA2" w:rsidR="00186DAF">
        <w:rPr>
          <w:rFonts w:ascii="Times New Roman" w:hAnsi="Times New Roman" w:eastAsia="Times New Roman" w:cs="Times New Roman"/>
          <w:sz w:val="22"/>
          <w:szCs w:val="22"/>
        </w:rPr>
        <w:t xml:space="preserve"> zu erbringen,</w:t>
      </w:r>
    </w:p>
    <w:p w:rsidRPr="0040051E" w:rsidR="00941142" w:rsidP="3676AEA2" w:rsidRDefault="00186DAF" w14:paraId="66D4F08C" w14:textId="47E410C3">
      <w:pPr>
        <w:pStyle w:val="BodyText"/>
        <w:numPr>
          <w:ilvl w:val="2"/>
          <w:numId w:val="29"/>
        </w:numPr>
        <w:spacing w:before="192" w:beforeLines="80" w:after="192" w:afterLines="80" w:line="240" w:lineRule="auto"/>
        <w:rPr>
          <w:rFonts w:ascii="Times New Roman" w:hAnsi="Times New Roman" w:eastAsia="Times New Roman" w:cs="Times New Roman"/>
          <w:spacing w:val="-2"/>
          <w:sz w:val="22"/>
          <w:szCs w:val="22"/>
        </w:rPr>
      </w:pPr>
      <w:r w:rsidRPr="3676AEA2" w:rsidR="00186DAF">
        <w:rPr>
          <w:rFonts w:ascii="Times New Roman" w:hAnsi="Times New Roman" w:eastAsia="Times New Roman" w:cs="Times New Roman"/>
          <w:spacing w:val="-2"/>
          <w:sz w:val="22"/>
          <w:szCs w:val="22"/>
        </w:rPr>
        <w:t xml:space="preserve">muss</w:t>
      </w:r>
      <w:r w:rsidRPr="3676AEA2" w:rsidR="00186DAF">
        <w:rPr>
          <w:rFonts w:ascii="Times New Roman" w:hAnsi="Times New Roman" w:eastAsia="Times New Roman" w:cs="Times New Roman"/>
          <w:spacing w:val="-2"/>
          <w:sz w:val="22"/>
          <w:szCs w:val="22"/>
        </w:rPr>
        <w:t xml:space="preserve"> der Anbieter mit angemessener Sorgfalt sicherstellen, dass der Unterauftragsverarbeiter in der Lage ist, </w:t>
      </w:r>
      <w:r w:rsidRPr="3676AEA2" w:rsidR="00186DAF">
        <w:rPr>
          <w:rFonts w:ascii="Times New Roman" w:hAnsi="Times New Roman" w:eastAsia="Times New Roman" w:cs="Times New Roman"/>
          <w:spacing w:val="-2"/>
          <w:sz w:val="22"/>
          <w:szCs w:val="22"/>
        </w:rPr>
        <w:t xml:space="preserve">das</w:t>
      </w:r>
      <w:r w:rsidRPr="3676AEA2" w:rsidR="00186DAF">
        <w:rPr>
          <w:rFonts w:ascii="Times New Roman" w:hAnsi="Times New Roman" w:eastAsia="Times New Roman" w:cs="Times New Roman"/>
          <w:spacing w:val="-2"/>
          <w:sz w:val="22"/>
          <w:szCs w:val="22"/>
        </w:rPr>
        <w:t xml:space="preserve"> in dieser DPA und der </w:t>
      </w:r>
      <w:bookmarkEnd w:id="8"/>
      <w:r w:rsidRPr="3676AEA2" w:rsidR="00186DAF">
        <w:rPr>
          <w:rFonts w:ascii="Times New Roman" w:hAnsi="Times New Roman" w:eastAsia="Times New Roman" w:cs="Times New Roman"/>
          <w:spacing w:val="-2"/>
          <w:sz w:val="22"/>
          <w:szCs w:val="22"/>
        </w:rPr>
        <w:t xml:space="preserve">Vereinbarung geforderte Schutzniveau für personenbezogene Daten zu gewährleisten, </w:t>
      </w:r>
      <w:bookmarkEnd w:id="7"/>
      <w:r w:rsidRPr="3676AEA2" w:rsidR="00186DAF">
        <w:rPr>
          <w:rFonts w:ascii="Times New Roman" w:hAnsi="Times New Roman" w:eastAsia="Times New Roman" w:cs="Times New Roman"/>
          <w:spacing w:val="-2"/>
          <w:sz w:val="22"/>
          <w:szCs w:val="22"/>
        </w:rPr>
        <w:t xml:space="preserve">und </w:t>
      </w:r>
    </w:p>
    <w:p w:rsidRPr="0040051E" w:rsidR="00EF366A" w:rsidP="3676AEA2" w:rsidRDefault="00186DAF" w14:paraId="5D83578C" w14:textId="70CAFCB1">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muss</w:t>
      </w:r>
      <w:r w:rsidRPr="3676AEA2" w:rsidR="00186DAF">
        <w:rPr>
          <w:rFonts w:ascii="Times New Roman" w:hAnsi="Times New Roman" w:eastAsia="Times New Roman" w:cs="Times New Roman"/>
          <w:sz w:val="22"/>
          <w:szCs w:val="22"/>
        </w:rPr>
        <w:t xml:space="preserve"> der Unterauftragsverarbeiter eine schriftliche Vereinbarung abschließen, deren Bedingungen den Schutz personenbezogener Daten mindestens ebenso gut gewährleisten wie die in dieser </w:t>
      </w:r>
      <w:r>
        <w:br/>
      </w:r>
      <w:r w:rsidRPr="3676AEA2" w:rsidR="00186DAF">
        <w:rPr>
          <w:rFonts w:ascii="Times New Roman" w:hAnsi="Times New Roman" w:eastAsia="Times New Roman" w:cs="Times New Roman"/>
          <w:sz w:val="22"/>
          <w:szCs w:val="22"/>
        </w:rPr>
        <w:t xml:space="preserve">DPA und der </w:t>
      </w:r>
      <w:bookmarkEnd w:id="4"/>
      <w:r w:rsidRPr="3676AEA2" w:rsidR="00186DAF">
        <w:rPr>
          <w:rFonts w:ascii="Times New Roman" w:hAnsi="Times New Roman" w:eastAsia="Times New Roman" w:cs="Times New Roman"/>
          <w:sz w:val="22"/>
          <w:szCs w:val="22"/>
        </w:rPr>
        <w:t xml:space="preserve">Vereinbarung festgelegten Verpflichtungen. </w:t>
      </w:r>
    </w:p>
    <w:p w:rsidRPr="0040051E" w:rsidR="00186DAF" w:rsidP="3676AEA2" w:rsidRDefault="001E2AEC" w14:paraId="2F0E89DD" w14:textId="1BEFCDE2">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1E2AEC">
        <w:rPr>
          <w:rFonts w:ascii="Times New Roman" w:hAnsi="Times New Roman" w:eastAsia="Times New Roman" w:cs="Times New Roman"/>
          <w:sz w:val="22"/>
          <w:szCs w:val="22"/>
        </w:rPr>
        <w:t xml:space="preserve">darf der Anbieter personenbezogene Daten </w:t>
      </w:r>
      <w:bookmarkStart w:name="_Hlk24881687" w:id="9"/>
      <w:r w:rsidRPr="3676AEA2" w:rsidR="001E2AEC">
        <w:rPr>
          <w:rFonts w:ascii="Times New Roman" w:hAnsi="Times New Roman" w:eastAsia="Times New Roman" w:cs="Times New Roman"/>
          <w:sz w:val="22"/>
          <w:szCs w:val="22"/>
        </w:rPr>
        <w:t xml:space="preserve">nur </w:t>
      </w:r>
      <w:bookmarkStart w:name="_Hlk40721290" w:id="10"/>
      <w:r w:rsidRPr="3676AEA2" w:rsidR="001E2AEC">
        <w:rPr>
          <w:rFonts w:ascii="Times New Roman" w:hAnsi="Times New Roman" w:eastAsia="Times New Roman" w:cs="Times New Roman"/>
          <w:sz w:val="22"/>
          <w:szCs w:val="22"/>
        </w:rPr>
        <w:t>verkaufen, freigeben, aufbewahren, nutzen oder offenlegen, um die in der Vereinbarung festgelegten Leistungen zu erbringen oder wie in dieser DPA</w:t>
      </w:r>
      <w:r w:rsidRPr="3676AEA2" w:rsidR="006A6176">
        <w:rPr>
          <w:rFonts w:ascii="Times New Roman" w:hAnsi="Times New Roman" w:eastAsia="Times New Roman" w:cs="Times New Roman"/>
          <w:sz w:val="22"/>
          <w:szCs w:val="22"/>
        </w:rPr>
        <w:t> </w:t>
      </w:r>
      <w:r w:rsidRPr="3676AEA2" w:rsidR="001E2AEC">
        <w:rPr>
          <w:rFonts w:ascii="Times New Roman" w:hAnsi="Times New Roman" w:eastAsia="Times New Roman" w:cs="Times New Roman"/>
          <w:sz w:val="22"/>
          <w:szCs w:val="22"/>
        </w:rPr>
        <w:t>anderweitig genehmigt</w:t>
      </w:r>
      <w:bookmarkEnd w:id="9"/>
      <w:bookmarkEnd w:id="10"/>
      <w:r w:rsidRPr="3676AEA2" w:rsidR="001E2AEC">
        <w:rPr>
          <w:rFonts w:ascii="Times New Roman" w:hAnsi="Times New Roman" w:eastAsia="Times New Roman" w:cs="Times New Roman"/>
          <w:sz w:val="22"/>
          <w:szCs w:val="22"/>
        </w:rPr>
        <w:t xml:space="preserve">. </w:t>
      </w:r>
      <w:bookmarkEnd w:id="5"/>
    </w:p>
    <w:p w:rsidRPr="0040051E" w:rsidR="00186DAF" w:rsidP="3676AEA2" w:rsidRDefault="00186DAF" w14:paraId="5BCBC092" w14:textId="71A62AC9">
      <w:pPr>
        <w:pStyle w:val="BodyText"/>
        <w:numPr>
          <w:ilvl w:val="1"/>
          <w:numId w:val="29"/>
        </w:numPr>
        <w:spacing w:before="192" w:beforeLines="80" w:after="192" w:afterLines="80" w:line="240" w:lineRule="auto"/>
        <w:rPr>
          <w:rFonts w:ascii="Times New Roman" w:hAnsi="Times New Roman" w:eastAsia="Times New Roman" w:cs="Times New Roman"/>
          <w:spacing w:val="-2"/>
          <w:sz w:val="22"/>
          <w:szCs w:val="22"/>
        </w:rPr>
      </w:pPr>
      <w:r w:rsidRPr="3676AEA2" w:rsidR="00186DAF">
        <w:rPr>
          <w:rFonts w:ascii="Times New Roman" w:hAnsi="Times New Roman" w:eastAsia="Times New Roman" w:cs="Times New Roman"/>
          <w:spacing w:val="-2"/>
          <w:sz w:val="22"/>
          <w:szCs w:val="22"/>
        </w:rPr>
        <w:t>haftet der Anbieter in vollem Umfang für alle Handlungen oder Unterlassungen seiner Mitarbeitenden, verbundenen Unternehmen, Vertreter, Nachunternehmer oder anderen Beauftragten.</w:t>
      </w:r>
      <w:bookmarkStart w:name="_Hlk3788840" w:id="11"/>
    </w:p>
    <w:p w:rsidRPr="0040051E" w:rsidR="00186DAF" w:rsidP="3676AEA2" w:rsidRDefault="00186DAF" w14:paraId="32A78059" w14:textId="5B12AD69">
      <w:pPr>
        <w:pStyle w:val="BodyText"/>
        <w:numPr>
          <w:ilvl w:val="1"/>
          <w:numId w:val="29"/>
        </w:numPr>
        <w:spacing w:before="192" w:beforeLines="80" w:after="192" w:afterLines="80" w:line="240" w:lineRule="auto"/>
        <w:rPr>
          <w:rFonts w:ascii="Times New Roman" w:hAnsi="Times New Roman" w:eastAsia="Times New Roman" w:cs="Times New Roman"/>
          <w:spacing w:val="-2"/>
          <w:sz w:val="22"/>
          <w:szCs w:val="22"/>
        </w:rPr>
      </w:pPr>
      <w:r w:rsidRPr="3676AEA2" w:rsidR="00186DAF">
        <w:rPr>
          <w:rFonts w:ascii="Times New Roman" w:hAnsi="Times New Roman" w:eastAsia="Times New Roman" w:cs="Times New Roman"/>
          <w:spacing w:val="-2"/>
          <w:sz w:val="22"/>
          <w:szCs w:val="22"/>
        </w:rPr>
        <w:t xml:space="preserve">implementiert und pflegt der Anbieter angemessene und geeignete schriftliche Informationssicherheits- und Datenschutzprogramme, die </w:t>
      </w:r>
      <w:bookmarkStart w:name="_Hlk11921675" w:id="12"/>
      <w:r w:rsidRPr="3676AEA2" w:rsidR="00186DAF">
        <w:rPr>
          <w:rFonts w:ascii="Times New Roman" w:hAnsi="Times New Roman" w:eastAsia="Times New Roman" w:cs="Times New Roman"/>
          <w:spacing w:val="-2"/>
          <w:sz w:val="22"/>
          <w:szCs w:val="22"/>
        </w:rPr>
        <w:t>physische, technische und organisatorische Maßnahmen umfassen, die</w:t>
      </w:r>
      <w:r w:rsidRPr="3676AEA2" w:rsidR="006A6176">
        <w:rPr>
          <w:rFonts w:ascii="Times New Roman" w:hAnsi="Times New Roman" w:eastAsia="Times New Roman" w:cs="Times New Roman"/>
          <w:spacing w:val="-2"/>
          <w:sz w:val="22"/>
          <w:szCs w:val="22"/>
        </w:rPr>
        <w:t> </w:t>
      </w:r>
      <w:r w:rsidRPr="3676AEA2" w:rsidR="00186DAF">
        <w:rPr>
          <w:rFonts w:ascii="Times New Roman" w:hAnsi="Times New Roman" w:eastAsia="Times New Roman" w:cs="Times New Roman"/>
          <w:spacing w:val="-2"/>
          <w:sz w:val="22"/>
          <w:szCs w:val="22"/>
        </w:rPr>
        <w:t>der Art der im Zusammenhang mit der Vereinbarung verarbeiteten personenbezogenen Daten entsprechen, die die guten Branchenverfahren (oder einen höheren Standard, wie er in Anhang 1 gefordert wird) erfüllen oder übertreffen und die einen angemessenen Schutz vor einer Verletzung des</w:t>
      </w:r>
      <w:r w:rsidRPr="3676AEA2" w:rsidR="006A6176">
        <w:rPr>
          <w:rFonts w:ascii="Times New Roman" w:hAnsi="Times New Roman" w:eastAsia="Times New Roman" w:cs="Times New Roman"/>
          <w:spacing w:val="-2"/>
          <w:sz w:val="22"/>
          <w:szCs w:val="22"/>
        </w:rPr>
        <w:t> </w:t>
      </w:r>
      <w:r w:rsidRPr="3676AEA2" w:rsidR="00186DAF">
        <w:rPr>
          <w:rFonts w:ascii="Times New Roman" w:hAnsi="Times New Roman" w:eastAsia="Times New Roman" w:cs="Times New Roman"/>
          <w:spacing w:val="-2"/>
          <w:sz w:val="22"/>
          <w:szCs w:val="22"/>
        </w:rPr>
        <w:t>Schutzes personenbezogener Daten bieten</w:t>
      </w:r>
      <w:bookmarkEnd w:id="11"/>
      <w:r w:rsidRPr="3676AEA2" w:rsidR="00186DAF">
        <w:rPr>
          <w:rFonts w:ascii="Times New Roman" w:hAnsi="Times New Roman" w:eastAsia="Times New Roman" w:cs="Times New Roman"/>
          <w:spacing w:val="-2"/>
          <w:sz w:val="22"/>
          <w:szCs w:val="22"/>
        </w:rPr>
        <w:t>, einschließlich der Schulung aller für die Verarbeitung personenbezogener Daten verantwortlichen Mitarbeiter in einer Weise, die ausreicht, um die Anforderungen dieser DPA zu erfüllen, sowie der in Anhang 1 beschriebenen Maßnahmen und, soweit</w:t>
      </w:r>
      <w:r w:rsidRPr="3676AEA2" w:rsidR="006A6176">
        <w:rPr>
          <w:rFonts w:ascii="Times New Roman" w:hAnsi="Times New Roman" w:eastAsia="Times New Roman" w:cs="Times New Roman"/>
          <w:spacing w:val="-2"/>
          <w:sz w:val="22"/>
          <w:szCs w:val="22"/>
        </w:rPr>
        <w:t> </w:t>
      </w:r>
      <w:r w:rsidRPr="3676AEA2" w:rsidR="00186DAF">
        <w:rPr>
          <w:rFonts w:ascii="Times New Roman" w:hAnsi="Times New Roman" w:eastAsia="Times New Roman" w:cs="Times New Roman"/>
          <w:spacing w:val="-2"/>
          <w:sz w:val="22"/>
          <w:szCs w:val="22"/>
        </w:rPr>
        <w:t>in Anhang 1 nicht anderweitig geregelt und bei Bedarf</w:t>
      </w:r>
      <w:bookmarkEnd w:id="12"/>
      <w:r w:rsidRPr="3676AEA2" w:rsidR="00186DAF">
        <w:rPr>
          <w:rFonts w:ascii="Times New Roman" w:hAnsi="Times New Roman" w:eastAsia="Times New Roman" w:cs="Times New Roman"/>
          <w:spacing w:val="-2"/>
          <w:sz w:val="22"/>
          <w:szCs w:val="22"/>
        </w:rPr>
        <w:t>:</w:t>
      </w:r>
      <w:bookmarkStart w:name="_Hlk951636" w:id="13"/>
      <w:bookmarkStart w:name="_Hlk525722286" w:id="14"/>
    </w:p>
    <w:p w:rsidRPr="0040051E" w:rsidR="00186DAF" w:rsidP="3676AEA2" w:rsidRDefault="00186DAF" w14:paraId="5EF3B1F8" w14:textId="0A557564">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die Pseudonymisierung und Verschlüsselung von personenbezogenen Daten</w:t>
      </w:r>
      <w:bookmarkEnd w:id="13"/>
      <w:r w:rsidRPr="3676AEA2" w:rsidR="00186DAF">
        <w:rPr>
          <w:rFonts w:ascii="Times New Roman" w:hAnsi="Times New Roman" w:eastAsia="Times New Roman" w:cs="Times New Roman"/>
          <w:sz w:val="22"/>
          <w:szCs w:val="22"/>
        </w:rPr>
        <w:t>;</w:t>
      </w:r>
      <w:bookmarkStart w:name="_Hlk951652" w:id="15"/>
    </w:p>
    <w:p w:rsidRPr="0040051E" w:rsidR="00186DAF" w:rsidP="3676AEA2" w:rsidRDefault="00186DAF" w14:paraId="45FF568D" w14:textId="77777777">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die Möglichkeit, die ständige Vertraulichkeit, Integrität, Verfügbarkeit und Stabilität der Verarbeitungssysteme und Verarbeitungsdienste zu gewährleisten</w:t>
      </w:r>
      <w:bookmarkEnd w:id="15"/>
      <w:r w:rsidRPr="3676AEA2" w:rsidR="00186DAF">
        <w:rPr>
          <w:rFonts w:ascii="Times New Roman" w:hAnsi="Times New Roman" w:eastAsia="Times New Roman" w:cs="Times New Roman"/>
          <w:sz w:val="22"/>
          <w:szCs w:val="22"/>
        </w:rPr>
        <w:t>;</w:t>
      </w:r>
      <w:bookmarkStart w:name="_Hlk951664" w:id="16"/>
    </w:p>
    <w:p w:rsidRPr="0040051E" w:rsidR="00186DAF" w:rsidP="3676AEA2" w:rsidRDefault="00186DAF" w14:paraId="6FA848CB" w14:textId="77777777">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die Möglichkeit, bei technischen Zwischenfällen die Verfügbarkeit und den Zugriff auf personenbezogene Daten rasch wieder herzustellen</w:t>
      </w:r>
      <w:bookmarkEnd w:id="16"/>
      <w:r w:rsidRPr="3676AEA2" w:rsidR="00186DAF">
        <w:rPr>
          <w:rFonts w:ascii="Times New Roman" w:hAnsi="Times New Roman" w:eastAsia="Times New Roman" w:cs="Times New Roman"/>
          <w:sz w:val="22"/>
          <w:szCs w:val="22"/>
        </w:rPr>
        <w:t>;</w:t>
      </w:r>
      <w:bookmarkStart w:name="_Hlk951688" w:id="17"/>
    </w:p>
    <w:p w:rsidRPr="0040051E" w:rsidR="00186DAF" w:rsidP="3676AEA2" w:rsidRDefault="00186DAF" w14:paraId="25FD9154" w14:textId="7541B6B8">
      <w:pPr>
        <w:pStyle w:val="BodyText"/>
        <w:numPr>
          <w:ilvl w:val="2"/>
          <w:numId w:val="29"/>
        </w:numPr>
        <w:spacing w:before="192" w:beforeLines="80" w:after="192" w:afterLines="80" w:line="240" w:lineRule="auto"/>
        <w:rPr>
          <w:rFonts w:ascii="Times New Roman" w:hAnsi="Times New Roman" w:eastAsia="Times New Roman" w:cs="Times New Roman"/>
          <w:spacing w:val="-2"/>
          <w:sz w:val="22"/>
          <w:szCs w:val="22"/>
        </w:rPr>
      </w:pPr>
      <w:r w:rsidRPr="3676AEA2" w:rsidR="00186DAF">
        <w:rPr>
          <w:rFonts w:ascii="Times New Roman" w:hAnsi="Times New Roman" w:eastAsia="Times New Roman" w:cs="Times New Roman"/>
          <w:spacing w:val="-2"/>
          <w:sz w:val="22"/>
          <w:szCs w:val="22"/>
        </w:rPr>
        <w:lastRenderedPageBreak/>
        <w:t>ein Verfahren für die regelmäßige Prüfung, Bewertung und Evaluierung der Effektivität technischer und organisatorischer Maßnahmen zur Gewährleistung der Verarbeitungssicherheit; und</w:t>
      </w:r>
      <w:bookmarkEnd w:id="17"/>
      <w:r w:rsidRPr="3676AEA2" w:rsidR="00186DAF">
        <w:rPr>
          <w:rFonts w:ascii="Times New Roman" w:hAnsi="Times New Roman" w:eastAsia="Times New Roman" w:cs="Times New Roman"/>
          <w:spacing w:val="-2"/>
          <w:sz w:val="22"/>
          <w:szCs w:val="22"/>
        </w:rPr>
        <w:t xml:space="preserve"> </w:t>
      </w:r>
      <w:bookmarkStart w:name="_Hlk951707" w:id="18"/>
    </w:p>
    <w:p w:rsidRPr="0040051E" w:rsidR="00186DAF" w:rsidP="3676AEA2" w:rsidRDefault="00186DAF" w14:paraId="0BBD077B" w14:textId="05C87E3A">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die Möglichkeit, innerhalb von 72 Stunden nach der Erkennung zu bestätigen, ob ein Ereignis eine Verletzung des Schutzes personenbezogener Daten darstellt</w:t>
      </w:r>
      <w:bookmarkEnd w:id="18"/>
      <w:r w:rsidRPr="3676AEA2" w:rsidR="00186DAF">
        <w:rPr>
          <w:rFonts w:ascii="Times New Roman" w:hAnsi="Times New Roman" w:eastAsia="Times New Roman" w:cs="Times New Roman"/>
          <w:sz w:val="22"/>
          <w:szCs w:val="22"/>
        </w:rPr>
        <w:t xml:space="preserve">. </w:t>
      </w:r>
      <w:bookmarkStart w:name="_Hlk962346" w:id="19"/>
      <w:bookmarkStart w:name="_Hlk3787016" w:id="20"/>
      <w:bookmarkEnd w:id="14"/>
    </w:p>
    <w:p w:rsidRPr="0040051E" w:rsidR="00825AD1" w:rsidP="3676AEA2" w:rsidRDefault="00186DAF" w14:paraId="6C67C720" w14:textId="02B795CA">
      <w:pPr>
        <w:pStyle w:val="BodyText"/>
        <w:numPr>
          <w:ilvl w:val="1"/>
          <w:numId w:val="29"/>
        </w:numPr>
        <w:spacing w:before="192" w:beforeLines="80" w:after="192" w:afterLines="80" w:line="240" w:lineRule="auto"/>
        <w:rPr>
          <w:rFonts w:ascii="Times New Roman" w:hAnsi="Times New Roman" w:eastAsia="Times New Roman" w:cs="Times New Roman"/>
          <w:spacing w:val="-2"/>
          <w:sz w:val="22"/>
          <w:szCs w:val="22"/>
        </w:rPr>
      </w:pPr>
      <w:r w:rsidRPr="3676AEA2" w:rsidR="00186DAF">
        <w:rPr>
          <w:rFonts w:ascii="Times New Roman" w:hAnsi="Times New Roman" w:eastAsia="Times New Roman" w:cs="Times New Roman"/>
          <w:spacing w:val="-2"/>
          <w:sz w:val="22"/>
          <w:szCs w:val="22"/>
        </w:rPr>
        <w:t>ist der Anbieter verpflichtet, im Falle einer tatsächlichen oder vernünftigerweise vermuteten Verletzung des Schutzes personenbezogener Daten, die sich im Gewahrsam oder unter der Kontrolle des Anbieters befinden oder die auf Handlungen oder Unterlassungen des Anbieters zurückzuführen sind (eine „Verletzung des Schutzes personenbezogener Daten durch den Anbieter</w:t>
      </w:r>
      <w:r w:rsidRPr="3676AEA2" w:rsidR="002173FD">
        <w:rPr>
          <w:rFonts w:ascii="Times New Roman" w:hAnsi="Times New Roman" w:eastAsia="Times New Roman" w:cs="Times New Roman"/>
          <w:spacing w:val="-2"/>
          <w:sz w:val="22"/>
          <w:szCs w:val="22"/>
        </w:rPr>
        <w:t>“</w:t>
      </w:r>
      <w:r w:rsidRPr="3676AEA2" w:rsidR="00186DAF">
        <w:rPr>
          <w:rFonts w:ascii="Times New Roman" w:hAnsi="Times New Roman" w:eastAsia="Times New Roman" w:cs="Times New Roman"/>
          <w:spacing w:val="-2"/>
          <w:sz w:val="22"/>
          <w:szCs w:val="22"/>
        </w:rPr>
        <w:t>), Folgendes zu tun:</w:t>
      </w:r>
    </w:p>
    <w:p w:rsidRPr="0040051E" w:rsidR="00825AD1" w:rsidP="3676AEA2" w:rsidRDefault="00186DAF" w14:paraId="776979AE" w14:textId="2912C5AD">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 xml:space="preserve">das Unternehmen unverzüglich benachrichtigen </w:t>
      </w:r>
      <w:bookmarkStart w:name="_Hlk525722648" w:id="21"/>
      <w:r w:rsidRPr="3676AEA2" w:rsidR="00186DAF">
        <w:rPr>
          <w:rFonts w:ascii="Times New Roman" w:hAnsi="Times New Roman" w:eastAsia="Times New Roman" w:cs="Times New Roman"/>
          <w:sz w:val="22"/>
          <w:szCs w:val="22"/>
        </w:rPr>
        <w:t xml:space="preserve">(und in jedem Fall innerhalb von 72 Stunden nach Kenntniserlangung einer Verletzung des Schutzes personenbezogener Daten durch den Anbieter); </w:t>
      </w:r>
      <w:bookmarkEnd w:id="21"/>
    </w:p>
    <w:p w:rsidRPr="0040051E" w:rsidR="00825AD1" w:rsidP="3676AEA2" w:rsidRDefault="00186DAF" w14:paraId="6FE1CEA0" w14:textId="1E10A454">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 xml:space="preserve">eine angemessene Untersuchung durchführen und alle erforderlichen </w:t>
      </w:r>
      <w:bookmarkStart w:name="_Hlk525722786" w:id="22"/>
      <w:r w:rsidRPr="3676AEA2" w:rsidR="00186DAF">
        <w:rPr>
          <w:rFonts w:ascii="Times New Roman" w:hAnsi="Times New Roman" w:eastAsia="Times New Roman" w:cs="Times New Roman"/>
          <w:sz w:val="22"/>
          <w:szCs w:val="22"/>
        </w:rPr>
        <w:t xml:space="preserve">Abhilfemaßnahmen ergreifen, um eine solche Verletzung des Schutzes personenbezogener Daten durch den Anbieter in einer für das Unternehmen zufriedenstellenden Weise zu beheben und eine Wiederholung zu verhindern; </w:t>
      </w:r>
    </w:p>
    <w:p w:rsidRPr="0040051E" w:rsidR="00825AD1" w:rsidP="3676AEA2" w:rsidRDefault="00186DAF" w14:paraId="327A36B6" w14:textId="776C97FC">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dem Unternehmen unverzüglich alle Informationen zur Verfügung stellen, die das Unternehmen für notwendig erachtet, um die Datenschutzgesetze einzuhalten, auch in Bezug auf die Führung von Aufzeichnungen und die Berichterstattung, sowie alle anderen Informationen, die das Unternehmen in Bezug auf eine Verletzung des Schutzes personenbezogener Daten durch den</w:t>
      </w:r>
      <w:r w:rsidRPr="3676AEA2" w:rsidR="006A6176">
        <w:rPr>
          <w:rFonts w:ascii="Times New Roman" w:hAnsi="Times New Roman" w:eastAsia="Times New Roman" w:cs="Times New Roman"/>
          <w:sz w:val="22"/>
          <w:szCs w:val="22"/>
        </w:rPr>
        <w:t> </w:t>
      </w:r>
      <w:r w:rsidRPr="3676AEA2" w:rsidR="00186DAF">
        <w:rPr>
          <w:rFonts w:ascii="Times New Roman" w:hAnsi="Times New Roman" w:eastAsia="Times New Roman" w:cs="Times New Roman"/>
          <w:sz w:val="22"/>
          <w:szCs w:val="22"/>
        </w:rPr>
        <w:t>Anbieter vernünftigerweise anfordert</w:t>
      </w:r>
      <w:bookmarkEnd w:id="22"/>
      <w:r w:rsidRPr="3676AEA2" w:rsidR="00186DAF">
        <w:rPr>
          <w:rFonts w:ascii="Times New Roman" w:hAnsi="Times New Roman" w:eastAsia="Times New Roman" w:cs="Times New Roman"/>
          <w:sz w:val="22"/>
          <w:szCs w:val="22"/>
        </w:rPr>
        <w:t>;</w:t>
      </w:r>
    </w:p>
    <w:p w:rsidRPr="0040051E" w:rsidR="00825AD1" w:rsidP="3676AEA2" w:rsidRDefault="00186DAF" w14:paraId="5667A4AF" w14:textId="38EBAD4B">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alle betroffenen Personen, deren personenbezogene Daten betroffen sein könnten, mit dem nach dem Datenschutzgesetz erforderlichen und für das Unternehmen zufriedenstellenden Inhalt benachrichtigen oder dem Unternehmen jegliche Unterstützung und Informationen zukommen lassen, die es dem Unternehmen ermöglichen, alle betroffenen Personen, deren personenbezogene Daten betroffen sein könnten, zu benachrichtigen, je nachdem, was das Unternehmen für angemessen hält;</w:t>
      </w:r>
    </w:p>
    <w:p w:rsidRPr="0040051E" w:rsidR="00825AD1" w:rsidP="3676AEA2" w:rsidRDefault="00825AD1" w14:paraId="65FD2E07" w14:textId="22543110">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676AEA2" w:rsidR="00825AD1">
        <w:rPr>
          <w:rFonts w:ascii="Times New Roman" w:hAnsi="Times New Roman" w:eastAsia="Times New Roman" w:cs="Times New Roman"/>
          <w:sz w:val="22"/>
          <w:szCs w:val="22"/>
        </w:rPr>
        <w:t>die alleinige Verantwortung für die Kosten und Ausgaben einer Partei für eine solche Benachrichtigung der betroffenen Personen tragen, unabhängig davon, ob die Benachrichtigung durch den Anbieter oder das Unternehmen erfolgt ist; und</w:t>
      </w:r>
    </w:p>
    <w:p w:rsidRPr="0040051E" w:rsidR="00825AD1" w:rsidP="3676AEA2" w:rsidRDefault="00825AD1" w14:paraId="0B2710B0" w14:textId="073F524F">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676AEA2" w:rsidR="00825AD1">
        <w:rPr>
          <w:rFonts w:ascii="Times New Roman" w:hAnsi="Times New Roman" w:eastAsia="Times New Roman" w:cs="Times New Roman"/>
          <w:sz w:val="22"/>
          <w:szCs w:val="22"/>
        </w:rPr>
        <w:t>mit Ausnahme der Anwälte, Berater, Versicherer und anderer betroffener Dritter, für die der Anbieter Dienstleistungen erbringt, darf der Anbieter Dritten keine Informationen über eine Verletzung des Schutzes personenbezogener Daten durch den Anbieter zur Verfügung stellen, bevor er das Unternehmen informiert hat, es sei denn, das geltende Recht schreibt etwas anderes</w:t>
      </w:r>
      <w:r w:rsidRPr="3676AEA2" w:rsidR="006A6176">
        <w:rPr>
          <w:rFonts w:ascii="Times New Roman" w:hAnsi="Times New Roman" w:eastAsia="Times New Roman" w:cs="Times New Roman"/>
          <w:sz w:val="22"/>
          <w:szCs w:val="22"/>
        </w:rPr>
        <w:t> </w:t>
      </w:r>
      <w:r w:rsidRPr="3676AEA2" w:rsidR="00825AD1">
        <w:rPr>
          <w:rFonts w:ascii="Times New Roman" w:hAnsi="Times New Roman" w:eastAsia="Times New Roman" w:cs="Times New Roman"/>
          <w:sz w:val="22"/>
          <w:szCs w:val="22"/>
        </w:rPr>
        <w:t>vor</w:t>
      </w:r>
      <w:bookmarkEnd w:id="19"/>
      <w:bookmarkEnd w:id="20"/>
      <w:r w:rsidRPr="3676AEA2" w:rsidR="00825AD1">
        <w:rPr>
          <w:rFonts w:ascii="Times New Roman" w:hAnsi="Times New Roman" w:eastAsia="Times New Roman" w:cs="Times New Roman"/>
          <w:sz w:val="22"/>
          <w:szCs w:val="22"/>
        </w:rPr>
        <w:t xml:space="preserve">. </w:t>
      </w:r>
    </w:p>
    <w:p w:rsidRPr="0040051E" w:rsidR="00186DAF" w:rsidP="3676AEA2" w:rsidRDefault="00186DAF" w14:paraId="6DD4A37E" w14:textId="32FE385B">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Um Zweifel auszuschließen, gelten die Verpflichtungen aus diesem Abschnitt 3(j) auch für</w:t>
      </w:r>
      <w:r w:rsidRPr="3676AEA2" w:rsidR="006A6176">
        <w:rPr>
          <w:rFonts w:ascii="Times New Roman" w:hAnsi="Times New Roman" w:eastAsia="Times New Roman" w:cs="Times New Roman"/>
          <w:sz w:val="22"/>
          <w:szCs w:val="22"/>
        </w:rPr>
        <w:t> </w:t>
      </w:r>
      <w:r w:rsidRPr="3676AEA2" w:rsidR="00186DAF">
        <w:rPr>
          <w:rFonts w:ascii="Times New Roman" w:hAnsi="Times New Roman" w:eastAsia="Times New Roman" w:cs="Times New Roman"/>
          <w:sz w:val="22"/>
          <w:szCs w:val="22"/>
        </w:rPr>
        <w:t xml:space="preserve">personenbezogene Daten, die von verbundenen Unternehmen des Anbieters oder von Unterauftragsverarbeitern des Anbieters oder seiner verbundenen Unternehmen oder anderen Beauftragten, Nachunternehmern oder Vertretern verarbeitet werden. </w:t>
      </w:r>
      <w:bookmarkStart w:name="_Hlk525723727" w:id="23"/>
    </w:p>
    <w:p w:rsidRPr="0040051E" w:rsidR="00186DAF" w:rsidP="3676AEA2" w:rsidRDefault="00186DAF" w14:paraId="11910041" w14:textId="6AFCAD6C">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muss</w:t>
      </w:r>
      <w:r w:rsidRPr="3676AEA2" w:rsidR="00186DAF">
        <w:rPr>
          <w:rFonts w:ascii="Times New Roman" w:hAnsi="Times New Roman" w:eastAsia="Times New Roman" w:cs="Times New Roman"/>
          <w:sz w:val="22"/>
          <w:szCs w:val="22"/>
        </w:rPr>
        <w:t xml:space="preserve"> der Anbieter unverzüglich das Unternehmen verständigen, </w:t>
      </w:r>
      <w:bookmarkStart w:name="_Hlk525723090" w:id="24"/>
      <w:r w:rsidRPr="3676AEA2" w:rsidR="00186DAF">
        <w:rPr>
          <w:rFonts w:ascii="Times New Roman" w:hAnsi="Times New Roman" w:eastAsia="Times New Roman" w:cs="Times New Roman"/>
          <w:sz w:val="22"/>
          <w:szCs w:val="22"/>
        </w:rPr>
        <w:t>und jedenfalls innerhalb von 72 Stunden,</w:t>
      </w:r>
      <w:bookmarkEnd w:id="24"/>
      <w:r w:rsidRPr="3676AEA2" w:rsidR="00186DAF">
        <w:rPr>
          <w:rFonts w:ascii="Times New Roman" w:hAnsi="Times New Roman" w:eastAsia="Times New Roman" w:cs="Times New Roman"/>
          <w:sz w:val="22"/>
          <w:szCs w:val="22"/>
        </w:rPr>
        <w:t xml:space="preserve"> in Bezug auf</w:t>
      </w:r>
      <w:bookmarkEnd w:id="23"/>
      <w:r w:rsidRPr="3676AEA2" w:rsidR="00186DAF">
        <w:rPr>
          <w:rFonts w:ascii="Times New Roman" w:hAnsi="Times New Roman" w:eastAsia="Times New Roman" w:cs="Times New Roman"/>
          <w:sz w:val="22"/>
          <w:szCs w:val="22"/>
        </w:rPr>
        <w:t xml:space="preserve">: </w:t>
      </w:r>
    </w:p>
    <w:p w:rsidRPr="0040051E" w:rsidR="00186DAF" w:rsidP="3676AEA2" w:rsidRDefault="00186DAF" w14:paraId="02C36B40" w14:textId="608A8B5C">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jede/n/s Beschwerde, Anfrage, Antrag oder Anliegen einer zuständigen Datenschutz- oder sonstigen Aufsichtsbehörde in Bezug auf personenbezogene Daten, die der Anbieter im Zusammenhang mit der Vereinbarung verarbeitet, und unterstützt das Unternehmen bei der</w:t>
      </w:r>
      <w:r w:rsidRPr="3676AEA2" w:rsidR="006A6176">
        <w:rPr>
          <w:rFonts w:ascii="Times New Roman" w:hAnsi="Times New Roman" w:eastAsia="Times New Roman" w:cs="Times New Roman"/>
          <w:sz w:val="22"/>
          <w:szCs w:val="22"/>
        </w:rPr>
        <w:t> </w:t>
      </w:r>
      <w:r w:rsidRPr="3676AEA2" w:rsidR="00186DAF">
        <w:rPr>
          <w:rFonts w:ascii="Times New Roman" w:hAnsi="Times New Roman" w:eastAsia="Times New Roman" w:cs="Times New Roman"/>
          <w:sz w:val="22"/>
          <w:szCs w:val="22"/>
        </w:rPr>
        <w:t xml:space="preserve">Beantwortung dieser Anfragen; und </w:t>
      </w:r>
    </w:p>
    <w:p w:rsidRPr="0040051E" w:rsidR="00186DAF" w:rsidP="3676AEA2" w:rsidRDefault="00186DAF" w14:paraId="1DF61B1E" w14:textId="2C8A784E">
      <w:pPr>
        <w:pStyle w:val="BodyText"/>
        <w:numPr>
          <w:ilvl w:val="2"/>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jede/n/s Beschwerde, Anfrage, Antrag oder Anliegen einer betroffenen Person in Bezug auf</w:t>
      </w:r>
      <w:r w:rsidRPr="3676AEA2" w:rsidR="006A6176">
        <w:rPr>
          <w:rFonts w:ascii="Times New Roman" w:hAnsi="Times New Roman" w:eastAsia="Times New Roman" w:cs="Times New Roman"/>
          <w:sz w:val="22"/>
          <w:szCs w:val="22"/>
        </w:rPr>
        <w:t> </w:t>
      </w:r>
      <w:r w:rsidRPr="3676AEA2" w:rsidR="00186DAF">
        <w:rPr>
          <w:rFonts w:ascii="Times New Roman" w:hAnsi="Times New Roman" w:eastAsia="Times New Roman" w:cs="Times New Roman"/>
          <w:sz w:val="22"/>
          <w:szCs w:val="22"/>
        </w:rPr>
        <w:t>personenbezogene Daten, die der Anbieter im Zusammenhang mit der Vereinbarung verarbeitet, einschließlich der Ausübung von Rechten nach dem Datenschutzgesetz oder der</w:t>
      </w:r>
      <w:r w:rsidRPr="3676AEA2" w:rsidR="006A6176">
        <w:rPr>
          <w:rFonts w:ascii="Times New Roman" w:hAnsi="Times New Roman" w:eastAsia="Times New Roman" w:cs="Times New Roman"/>
          <w:sz w:val="22"/>
          <w:szCs w:val="22"/>
        </w:rPr>
        <w:t> </w:t>
      </w:r>
      <w:r w:rsidRPr="3676AEA2" w:rsidR="00186DAF">
        <w:rPr>
          <w:rFonts w:ascii="Times New Roman" w:hAnsi="Times New Roman" w:eastAsia="Times New Roman" w:cs="Times New Roman"/>
          <w:sz w:val="22"/>
          <w:szCs w:val="22"/>
        </w:rPr>
        <w:t>Datenschutzrichtlinie des Unternehmens oder des Anbieters, wie z. B. das Recht auf Zugang</w:t>
      </w:r>
      <w:r w:rsidRPr="3676AEA2" w:rsidR="006A6176">
        <w:rPr>
          <w:rFonts w:ascii="Times New Roman" w:hAnsi="Times New Roman" w:eastAsia="Times New Roman" w:cs="Times New Roman"/>
          <w:sz w:val="22"/>
          <w:szCs w:val="22"/>
        </w:rPr>
        <w:t> </w:t>
      </w:r>
      <w:r w:rsidRPr="3676AEA2" w:rsidR="00186DAF">
        <w:rPr>
          <w:rFonts w:ascii="Times New Roman" w:hAnsi="Times New Roman" w:eastAsia="Times New Roman" w:cs="Times New Roman"/>
          <w:sz w:val="22"/>
          <w:szCs w:val="22"/>
        </w:rPr>
        <w:t>(einschließlich der Anforderung von Informationen über die Verarbeitung ihrer personenbezogenen Daten), Berichtigung, Ergänzung, Korrektur, Freigabe, Löschung oder</w:t>
      </w:r>
      <w:r w:rsidRPr="3676AEA2" w:rsidR="006A6176">
        <w:rPr>
          <w:rFonts w:ascii="Times New Roman" w:hAnsi="Times New Roman" w:eastAsia="Times New Roman" w:cs="Times New Roman"/>
          <w:sz w:val="22"/>
          <w:szCs w:val="22"/>
        </w:rPr>
        <w:t> </w:t>
      </w:r>
      <w:r w:rsidRPr="3676AEA2" w:rsidR="00186DAF">
        <w:rPr>
          <w:rFonts w:ascii="Times New Roman" w:hAnsi="Times New Roman" w:eastAsia="Times New Roman" w:cs="Times New Roman"/>
          <w:sz w:val="22"/>
          <w:szCs w:val="22"/>
        </w:rPr>
        <w:t>Einstellung der Verarbeitung ihrer personenbezogenen Daten.</w:t>
      </w:r>
    </w:p>
    <w:p w:rsidRPr="0040051E" w:rsidR="00186DAF" w:rsidP="3676AEA2" w:rsidRDefault="00EC6C23" w14:paraId="057B0F78" w14:textId="779E58DE">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EC6C23">
        <w:rPr>
          <w:rFonts w:ascii="Times New Roman" w:hAnsi="Times New Roman" w:eastAsia="Times New Roman" w:cs="Times New Roman"/>
          <w:sz w:val="22"/>
          <w:szCs w:val="22"/>
        </w:rPr>
        <w:t>muss</w:t>
      </w:r>
      <w:r w:rsidRPr="3676AEA2" w:rsidR="00EC6C23">
        <w:rPr>
          <w:rFonts w:ascii="Times New Roman" w:hAnsi="Times New Roman" w:eastAsia="Times New Roman" w:cs="Times New Roman"/>
          <w:sz w:val="22"/>
          <w:szCs w:val="22"/>
        </w:rPr>
        <w:t xml:space="preserve"> der Anbieter alle vom Unternehmen geforderten angemessenen und geeigneten Maßnahmen ergreifen, die erforderlich sind, </w:t>
      </w:r>
      <w:bookmarkStart w:name="_Hlk950041" w:id="25"/>
      <w:r w:rsidRPr="3676AEA2" w:rsidR="00EC6C23">
        <w:rPr>
          <w:rFonts w:ascii="Times New Roman" w:hAnsi="Times New Roman" w:eastAsia="Times New Roman" w:cs="Times New Roman"/>
          <w:sz w:val="22"/>
          <w:szCs w:val="22"/>
        </w:rPr>
        <w:t xml:space="preserve">damit der Anbieter und das Unternehmen ihren jeweiligen Verpflichtungen aus dem Datenschutzgesetz und dieser DPA nachkommen können, einschließlich, aber nicht beschränkt auf die Unterstützung bei der Durchführung von Datenschutz-Folgenabschätzungen oder Datenschutz-Folgenabschätzungen, die nach dem Datenschutzgesetz notwendig sind, falls erforderlich. </w:t>
      </w:r>
      <w:bookmarkStart w:name="_Hlk3790096" w:id="26"/>
      <w:bookmarkEnd w:id="25"/>
    </w:p>
    <w:p w:rsidRPr="0040051E" w:rsidR="00186DAF" w:rsidP="3676AEA2" w:rsidRDefault="00186DAF" w14:paraId="5D0D103C" w14:textId="652AAD3F">
      <w:pPr>
        <w:pStyle w:val="BodyText"/>
        <w:numPr>
          <w:ilvl w:val="1"/>
          <w:numId w:val="29"/>
        </w:numPr>
        <w:spacing w:before="192" w:beforeLines="80" w:after="192" w:afterLines="80" w:line="240" w:lineRule="auto"/>
        <w:rPr>
          <w:rFonts w:ascii="Times New Roman" w:hAnsi="Times New Roman" w:eastAsia="Times New Roman" w:cs="Times New Roman"/>
          <w:spacing w:val="-2"/>
          <w:sz w:val="22"/>
          <w:szCs w:val="22"/>
        </w:rPr>
      </w:pPr>
      <w:r w:rsidRPr="3676AEA2" w:rsidR="00186DAF">
        <w:rPr>
          <w:rFonts w:ascii="Times New Roman" w:hAnsi="Times New Roman" w:eastAsia="Times New Roman" w:cs="Times New Roman"/>
          <w:spacing w:val="-2"/>
          <w:sz w:val="22"/>
          <w:szCs w:val="22"/>
        </w:rPr>
        <w:t>ist der Anbieter verpflichtet, auf Aufforderung des Unternehmens oder am Ende oder bei früherer Beendigung der Vereinbarung oder einer Leistungsbeschreibung, in deren Rahmen personenbezogenen Daten verarbeitet wurden, alle verarbeiteten personenbezogenen Daten nach Wahl des Unternehmens unverzüglich zu löschen oder zurückzugeben, es sei denn, das geltende Recht schreibt etwas anderes vor. In diesem</w:t>
      </w:r>
      <w:bookmarkStart w:name="_Hlk526771645" w:id="27"/>
      <w:r w:rsidRPr="3676AEA2" w:rsidR="00186DAF">
        <w:rPr>
          <w:rFonts w:ascii="Times New Roman" w:hAnsi="Times New Roman" w:eastAsia="Times New Roman" w:cs="Times New Roman"/>
          <w:spacing w:val="-2"/>
          <w:sz w:val="22"/>
          <w:szCs w:val="22"/>
        </w:rPr>
        <w:t xml:space="preserve"> Fall darf der Anbieter eine Kopie der personenbezogenen Daten, die nach geltendem Recht aufbewahrt werden müssen, bis dreißig (30) Tage nach Ablauf des Zeitraums für die nach geltendem Recht erforderliche Aufbewahrung von personenbezogenen Daten bewahren, und der Anbieter wird weiterhin die Bestimmungen dieser DPA in Bezug auf alle personenbezogenen Daten, die der Anbieter aufbewahrt, einhalten und diese personenbezogenen Daten </w:t>
      </w:r>
      <w:bookmarkEnd w:id="26"/>
      <w:bookmarkEnd w:id="27"/>
      <w:r w:rsidRPr="3676AEA2" w:rsidR="00186DAF">
        <w:rPr>
          <w:rFonts w:ascii="Times New Roman" w:hAnsi="Times New Roman" w:eastAsia="Times New Roman" w:cs="Times New Roman"/>
          <w:spacing w:val="-2"/>
          <w:sz w:val="22"/>
          <w:szCs w:val="22"/>
        </w:rPr>
        <w:t>ausschließlich gemäß den geltenden Bestimmungen verarbeiten. Der Anbieter muss die personenbezogenen Daten löschen oder in</w:t>
      </w:r>
      <w:r w:rsidRPr="3676AEA2" w:rsidR="006A6176">
        <w:rPr>
          <w:rFonts w:ascii="Times New Roman" w:hAnsi="Times New Roman" w:eastAsia="Times New Roman" w:cs="Times New Roman"/>
          <w:spacing w:val="-2"/>
          <w:sz w:val="22"/>
          <w:szCs w:val="22"/>
        </w:rPr>
        <w:t> </w:t>
      </w:r>
      <w:r w:rsidRPr="3676AEA2" w:rsidR="00186DAF">
        <w:rPr>
          <w:rFonts w:ascii="Times New Roman" w:hAnsi="Times New Roman" w:eastAsia="Times New Roman" w:cs="Times New Roman"/>
          <w:spacing w:val="-2"/>
          <w:sz w:val="22"/>
          <w:szCs w:val="22"/>
        </w:rPr>
        <w:t>der Weise und in dem Format zurückgeben, wie vom Unternehmen vernünftigerweise verlangt wird.</w:t>
      </w:r>
    </w:p>
    <w:p w:rsidRPr="0040051E" w:rsidR="00186DAF" w:rsidP="3676AEA2" w:rsidRDefault="00186DAF" w14:paraId="5934BCFD" w14:textId="38C5D6EC">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muss</w:t>
      </w:r>
      <w:r w:rsidRPr="3676AEA2" w:rsidR="00186DAF">
        <w:rPr>
          <w:rFonts w:ascii="Times New Roman" w:hAnsi="Times New Roman" w:eastAsia="Times New Roman" w:cs="Times New Roman"/>
          <w:sz w:val="22"/>
          <w:szCs w:val="22"/>
        </w:rPr>
        <w:t xml:space="preserve"> der Anbieter die Richtigkeit und Integrität der personenbezogenen Daten, die er im Namen des Unternehmens verarbeitet, in der Form pflegen, in der er diese personenbezogenen Daten erhalten oder erfasst hat.</w:t>
      </w:r>
      <w:bookmarkStart w:name="_Hlk3818132" w:id="28"/>
    </w:p>
    <w:p w:rsidRPr="0040051E" w:rsidR="00186DAF" w:rsidP="3676AEA2" w:rsidRDefault="00186DAF" w14:paraId="57432507" w14:textId="45897BF5">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muss</w:t>
      </w:r>
      <w:r w:rsidRPr="3676AEA2" w:rsidR="00186DAF">
        <w:rPr>
          <w:rFonts w:ascii="Times New Roman" w:hAnsi="Times New Roman" w:eastAsia="Times New Roman" w:cs="Times New Roman"/>
          <w:sz w:val="22"/>
          <w:szCs w:val="22"/>
        </w:rPr>
        <w:t xml:space="preserve"> der Anbieter alle Aufzeichnungen bewahren, die für den Nachweis erforderlich sind, dass personenbezogene Daten ausschließlich in Übereinstimmung mit den einschlägigen Hinweisen, Einverständniserklärungen und Rechten und gemäß dieser DPA verarbeitet wurden, damit sowohl das</w:t>
      </w:r>
      <w:r w:rsidRPr="3676AEA2" w:rsidR="006A6176">
        <w:rPr>
          <w:rFonts w:ascii="Times New Roman" w:hAnsi="Times New Roman" w:eastAsia="Times New Roman" w:cs="Times New Roman"/>
          <w:sz w:val="22"/>
          <w:szCs w:val="22"/>
        </w:rPr>
        <w:t> </w:t>
      </w:r>
      <w:r w:rsidRPr="3676AEA2" w:rsidR="00186DAF">
        <w:rPr>
          <w:rFonts w:ascii="Times New Roman" w:hAnsi="Times New Roman" w:eastAsia="Times New Roman" w:cs="Times New Roman"/>
          <w:sz w:val="22"/>
          <w:szCs w:val="22"/>
        </w:rPr>
        <w:t>Unternehmen als auch der Anbieter die Datenschutzbestimmungen einhalten kann</w:t>
      </w:r>
      <w:bookmarkEnd w:id="28"/>
      <w:r w:rsidRPr="3676AEA2" w:rsidR="00186DAF">
        <w:rPr>
          <w:rFonts w:ascii="Times New Roman" w:hAnsi="Times New Roman" w:eastAsia="Times New Roman" w:cs="Times New Roman"/>
          <w:sz w:val="22"/>
          <w:szCs w:val="22"/>
        </w:rPr>
        <w:t>.</w:t>
      </w:r>
    </w:p>
    <w:p w:rsidRPr="0040051E" w:rsidR="00186DAF" w:rsidP="3676AEA2" w:rsidRDefault="00186DAF" w14:paraId="45F065B1" w14:textId="0D419E59">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muss</w:t>
      </w:r>
      <w:r w:rsidRPr="3676AEA2" w:rsidR="00186DAF">
        <w:rPr>
          <w:rFonts w:ascii="Times New Roman" w:hAnsi="Times New Roman" w:eastAsia="Times New Roman" w:cs="Times New Roman"/>
          <w:sz w:val="22"/>
          <w:szCs w:val="22"/>
        </w:rPr>
        <w:t xml:space="preserve"> der Anbieter auf Verlangen des Unternehmens Audits durch das Unternehmen oder einen anderen vom Unternehmen beauftragten Prüfer über die Einhaltung dieser DPA und der Datenschutz- und Informationssicherheitsprogramme des Anbieters zulassen und dazu beitragen sowie ein Audit der Datenschutz- und Informationssicherheitsprogramme des Anbieters durch einen Drittprüfer durchführen lassen. Diese Prüfungen unterliegen allen vernünftigerweise anwendbaren Prüfungsbeschränkungen und -anforderungen, die in der Vereinbarung aufgeführt sind, es sei denn, solche Beschränkungen würden Prüfungen, Bewertungen oder Überprüfungen verhindern, die nach dem Datenschutzrecht erforderlich sind.</w:t>
      </w:r>
    </w:p>
    <w:p w:rsidRPr="0040051E" w:rsidR="00186DAF" w:rsidP="3676AEA2" w:rsidRDefault="00186DAF" w14:paraId="12B383F0" w14:textId="7610D783">
      <w:pPr>
        <w:pStyle w:val="BodyText"/>
        <w:numPr>
          <w:ilvl w:val="1"/>
          <w:numId w:val="29"/>
        </w:numPr>
        <w:spacing w:before="192" w:beforeLines="80" w:after="192" w:afterLines="80" w:line="240" w:lineRule="auto"/>
        <w:rPr>
          <w:rFonts w:ascii="Times New Roman" w:hAnsi="Times New Roman" w:eastAsia="Times New Roman" w:cs="Times New Roman"/>
          <w:spacing w:val="-2"/>
          <w:sz w:val="22"/>
          <w:szCs w:val="22"/>
        </w:rPr>
      </w:pPr>
      <w:r w:rsidRPr="3676AEA2" w:rsidR="00186DAF">
        <w:rPr>
          <w:rFonts w:ascii="Times New Roman" w:hAnsi="Times New Roman" w:eastAsia="Times New Roman" w:cs="Times New Roman"/>
          <w:spacing w:val="-2"/>
          <w:sz w:val="22"/>
          <w:szCs w:val="22"/>
        </w:rPr>
        <w:t>Soweit der Anbieter personenbezogene Daten von Betroffenen aus einem Land oder einer Region verarbeitet, in dem/der Beschränkungen für die grenzüberschreitende Übermittlung personenbezogener Daten bestehen, darf der Anbieter dies nur unter Einhaltung der Datenschutzgesetze tun, wozu unter anderem der Abschluss von Standardvertragsklauseln oder ähnlichen Mechanismen zum Schutz der Übermittlung personenbezogener Daten gehören kann.</w:t>
      </w:r>
    </w:p>
    <w:p w:rsidRPr="0040051E" w:rsidR="00186DAF" w:rsidP="3676AEA2" w:rsidRDefault="00186DAF" w14:paraId="67F0BDDC" w14:textId="20F97450">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muss Anbieter auf Anfrage des Unternehmens und in Übereinstimmung mit den Bedingungen des Vertrages jede betroffene Person, deren personenbezogene Daten von oder im Namen des Anbieters in Verbindung mit der Vereinbarung erfasst werden, benachrichtigen und deren Zustimmung einholen. Der Anbieter wird Formen der Benachrichtigung und Zustimmung verwenden und solche Benachrichtigungen und Zustimmungen in einer Weise und zu Zeiten bereitstellen und einholen, die</w:t>
      </w:r>
      <w:r w:rsidRPr="3676AEA2" w:rsidR="006A6176">
        <w:rPr>
          <w:rFonts w:ascii="Times New Roman" w:hAnsi="Times New Roman" w:eastAsia="Times New Roman" w:cs="Times New Roman"/>
          <w:sz w:val="22"/>
          <w:szCs w:val="22"/>
        </w:rPr>
        <w:t> </w:t>
      </w:r>
      <w:r w:rsidRPr="3676AEA2" w:rsidR="00186DAF">
        <w:rPr>
          <w:rFonts w:ascii="Times New Roman" w:hAnsi="Times New Roman" w:eastAsia="Times New Roman" w:cs="Times New Roman"/>
          <w:sz w:val="22"/>
          <w:szCs w:val="22"/>
        </w:rPr>
        <w:t>für das Unternehmen zufriedenstellend sind und den Anforderungen des Datenschutzgesetzes entsprechen.</w:t>
      </w:r>
      <w:bookmarkStart w:name="_Hlk3967478" w:id="29"/>
      <w:bookmarkStart w:name="_Hlk532912029" w:id="30"/>
    </w:p>
    <w:p w:rsidRPr="0040051E" w:rsidR="00186DAF" w:rsidP="3676AEA2" w:rsidRDefault="001F46C8" w14:paraId="19B08E52" w14:textId="3C73AD5C">
      <w:pPr>
        <w:pStyle w:val="BodyText"/>
        <w:numPr>
          <w:ilvl w:val="1"/>
          <w:numId w:val="29"/>
        </w:numPr>
        <w:spacing w:before="192" w:beforeLines="80" w:after="192" w:afterLines="80" w:line="240" w:lineRule="auto"/>
        <w:rPr>
          <w:rFonts w:ascii="Times New Roman" w:hAnsi="Times New Roman" w:eastAsia="Times New Roman" w:cs="Times New Roman"/>
          <w:spacing w:val="-2"/>
          <w:sz w:val="22"/>
          <w:szCs w:val="22"/>
        </w:rPr>
      </w:pPr>
      <w:r w:rsidRPr="3676AEA2" w:rsidR="001F46C8">
        <w:rPr>
          <w:rFonts w:ascii="Times New Roman" w:hAnsi="Times New Roman" w:eastAsia="Times New Roman" w:cs="Times New Roman"/>
          <w:spacing w:val="-2"/>
          <w:sz w:val="22"/>
          <w:szCs w:val="22"/>
        </w:rPr>
        <w:t>Mit Ausnahme von Änderungen, die im Einklang mit einem höheren Industriestandard oder dem</w:t>
      </w:r>
      <w:r w:rsidRPr="3676AEA2" w:rsidR="006A6176">
        <w:rPr>
          <w:rFonts w:ascii="Times New Roman" w:hAnsi="Times New Roman" w:eastAsia="Times New Roman" w:cs="Times New Roman"/>
          <w:spacing w:val="-2"/>
          <w:sz w:val="22"/>
          <w:szCs w:val="22"/>
        </w:rPr>
        <w:t> </w:t>
      </w:r>
      <w:r w:rsidRPr="3676AEA2" w:rsidR="001F46C8">
        <w:rPr>
          <w:rFonts w:ascii="Times New Roman" w:hAnsi="Times New Roman" w:eastAsia="Times New Roman" w:cs="Times New Roman"/>
          <w:spacing w:val="-2"/>
          <w:sz w:val="22"/>
          <w:szCs w:val="22"/>
        </w:rPr>
        <w:t xml:space="preserve">Datenschutzgesetz vorgenommen werden, muss der Anbieter die Datenschutz- und Datensicherheitspraktiken, die er dem Unternehmen in Verbindung mit einer Due-Diligence-Prüfung, die das Unternehmen zuletzt im Zusammenhang mit der </w:t>
      </w:r>
      <w:bookmarkStart w:name="_Hlk40594752" w:id="31"/>
      <w:r w:rsidRPr="3676AEA2" w:rsidR="001F46C8">
        <w:rPr>
          <w:rFonts w:ascii="Times New Roman" w:hAnsi="Times New Roman" w:eastAsia="Times New Roman" w:cs="Times New Roman"/>
          <w:spacing w:val="-2"/>
          <w:sz w:val="22"/>
          <w:szCs w:val="22"/>
        </w:rPr>
        <w:t>Vereinbarung durchgeführt hat, offengelegt hat, beibehalten und konsequent anwenden; vorausgesetzt, dass der Anbieter die Standards dieser Praktiken nicht dadurch herabsetzen darf, dass er später Datenschutz- und Datensicherheitspraktiken offenlegt, die eine Verschlechterung der zuvor offengelegten</w:t>
      </w:r>
      <w:bookmarkEnd w:id="31"/>
      <w:r w:rsidRPr="3676AEA2" w:rsidR="001F46C8">
        <w:rPr>
          <w:rFonts w:ascii="Times New Roman" w:hAnsi="Times New Roman" w:eastAsia="Times New Roman" w:cs="Times New Roman"/>
          <w:spacing w:val="-2"/>
          <w:sz w:val="22"/>
          <w:szCs w:val="22"/>
        </w:rPr>
        <w:t xml:space="preserve"> Praktiken darstellen würden. Der Anbieter sichert zu und gewährleistet, dass alle von ihm im Rahmen einer solchen Due Diligence gemachten Angaben wahrheitsgemäß, genau und vollständig sind und dass ein bevollmächtigter Vertreter des Anbieters diese Due Diligence durchgeführt hat.</w:t>
      </w:r>
      <w:bookmarkEnd w:id="29"/>
      <w:r w:rsidRPr="3676AEA2" w:rsidR="001F46C8">
        <w:rPr>
          <w:rFonts w:ascii="Times New Roman" w:hAnsi="Times New Roman" w:eastAsia="Times New Roman" w:cs="Times New Roman"/>
          <w:spacing w:val="-2"/>
          <w:sz w:val="22"/>
          <w:szCs w:val="22"/>
        </w:rPr>
        <w:t xml:space="preserve"> Der Anbieter muss dem Unternehmen unverzüglich alle wesentlichen Änderungen der Datenschutz- und Datensicherheitspraktiken des Anbieters mitteilen.</w:t>
      </w:r>
    </w:p>
    <w:p w:rsidRPr="0040051E" w:rsidR="00B10760" w:rsidP="3676AEA2" w:rsidRDefault="00B10760" w14:paraId="3DC90079" w14:textId="572617A9">
      <w:pPr>
        <w:pStyle w:val="ListParagraph"/>
        <w:numPr>
          <w:ilvl w:val="1"/>
          <w:numId w:val="29"/>
        </w:numPr>
        <w:rPr>
          <w:rFonts w:ascii="Times New Roman" w:hAnsi="Times New Roman" w:eastAsia="Times New Roman" w:cs="Times New Roman"/>
          <w:sz w:val="22"/>
          <w:szCs w:val="22"/>
        </w:rPr>
      </w:pPr>
      <w:r w:rsidRPr="3676AEA2" w:rsidR="00B10760">
        <w:rPr>
          <w:rFonts w:ascii="Times New Roman" w:hAnsi="Times New Roman" w:eastAsia="Times New Roman" w:cs="Times New Roman"/>
          <w:sz w:val="22"/>
          <w:szCs w:val="22"/>
        </w:rPr>
        <w:t>Der Anbieter ernennt, sofern dies durch das Datenschutzgesetz vorgeschrieben ist, einen Datenschutzbeauftragten oder eine ähnliche Funktion, die mit dem Schutz personenbezogener Daten</w:t>
      </w:r>
      <w:r w:rsidRPr="3676AEA2" w:rsidR="006A6176">
        <w:rPr>
          <w:rFonts w:ascii="Times New Roman" w:hAnsi="Times New Roman" w:eastAsia="Times New Roman" w:cs="Times New Roman"/>
          <w:sz w:val="22"/>
          <w:szCs w:val="22"/>
        </w:rPr>
        <w:t> </w:t>
      </w:r>
      <w:r w:rsidRPr="3676AEA2" w:rsidR="00B10760">
        <w:rPr>
          <w:rFonts w:ascii="Times New Roman" w:hAnsi="Times New Roman" w:eastAsia="Times New Roman" w:cs="Times New Roman"/>
          <w:sz w:val="22"/>
          <w:szCs w:val="22"/>
        </w:rPr>
        <w:t>betraut ist, und teilt dem Unternehmen den Namen und die Kontaktdaten dieser Person mit.</w:t>
      </w:r>
    </w:p>
    <w:bookmarkEnd w:id="30"/>
    <w:p w:rsidRPr="0040051E" w:rsidR="00186DAF" w:rsidP="3676AEA2" w:rsidRDefault="00186DAF" w14:paraId="204DDC72" w14:textId="77777777">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Der Anbieter nimmt zur Kenntnis und ist damit einverstanden, dass die Unterzeichnung dieser DPA die Bestätigung darstellt, dass er die in der DPA dargelegten Einschränkungen versteht und diese einhalten wird.</w:t>
      </w:r>
    </w:p>
    <w:p w:rsidRPr="0040051E" w:rsidR="00186DAF" w:rsidP="3676AEA2" w:rsidRDefault="002C260E" w14:paraId="6382C2DC" w14:textId="5E6DC0FD">
      <w:pPr>
        <w:pStyle w:val="ListParagraph"/>
        <w:numPr>
          <w:ilvl w:val="0"/>
          <w:numId w:val="29"/>
        </w:numPr>
        <w:rPr>
          <w:rFonts w:ascii="Times New Roman" w:hAnsi="Times New Roman" w:eastAsia="Times New Roman" w:cs="Times New Roman"/>
          <w:sz w:val="22"/>
          <w:szCs w:val="22"/>
        </w:rPr>
      </w:pPr>
      <w:bookmarkStart w:name="_Hlk535168982" w:id="32"/>
      <w:bookmarkStart w:name="_Hlk527960187" w:id="33"/>
      <w:r w:rsidRPr="3676AEA2" w:rsidR="002C260E">
        <w:rPr>
          <w:rFonts w:ascii="Times New Roman" w:hAnsi="Times New Roman" w:eastAsia="Times New Roman" w:cs="Times New Roman"/>
          <w:i w:val="1"/>
          <w:iCs w:val="1"/>
          <w:sz w:val="22"/>
          <w:szCs w:val="22"/>
        </w:rPr>
        <w:t>Schadloshaltung</w:t>
      </w:r>
      <w:r w:rsidRPr="3676AEA2" w:rsidR="002C260E">
        <w:rPr>
          <w:rFonts w:ascii="Times New Roman" w:hAnsi="Times New Roman" w:eastAsia="Times New Roman" w:cs="Times New Roman"/>
          <w:sz w:val="22"/>
          <w:szCs w:val="22"/>
        </w:rPr>
        <w:t xml:space="preserve">. </w:t>
      </w:r>
      <w:bookmarkEnd w:id="32"/>
      <w:r w:rsidRPr="3676AEA2" w:rsidR="002C260E">
        <w:rPr>
          <w:rFonts w:ascii="Times New Roman" w:hAnsi="Times New Roman" w:eastAsia="Times New Roman" w:cs="Times New Roman"/>
          <w:sz w:val="22"/>
          <w:szCs w:val="22"/>
        </w:rPr>
        <w:t>Ohne die Rechte oder Ansprüche des Unternehmens oder die Verpflichtungen des Anbieters im Rahmen der Vereinbarung oder anderweitig einzuschränken, vereinbaren die Parteien, dass der Anbieter das Unternehmen und seine verbundenen Unternehmen sowie deren leitenden Angestellten, Direktoren, Mitarbeiter, Auftragnehmer, Zeitarbeiter, Nachunternehmer, Vertreter und</w:t>
      </w:r>
      <w:r w:rsidRPr="3676AEA2" w:rsidR="006A6176">
        <w:rPr>
          <w:rFonts w:ascii="Times New Roman" w:hAnsi="Times New Roman" w:eastAsia="Times New Roman" w:cs="Times New Roman"/>
          <w:sz w:val="22"/>
          <w:szCs w:val="22"/>
        </w:rPr>
        <w:t> </w:t>
      </w:r>
      <w:r w:rsidRPr="3676AEA2" w:rsidR="002C260E">
        <w:rPr>
          <w:rFonts w:ascii="Times New Roman" w:hAnsi="Times New Roman" w:eastAsia="Times New Roman" w:cs="Times New Roman"/>
          <w:sz w:val="22"/>
          <w:szCs w:val="22"/>
        </w:rPr>
        <w:t>andere Beauftragten (jeweils eine „entschädigte Partei</w:t>
      </w:r>
      <w:r w:rsidRPr="3676AEA2" w:rsidR="002173FD">
        <w:rPr>
          <w:rFonts w:ascii="Times New Roman" w:hAnsi="Times New Roman" w:eastAsia="Times New Roman" w:cs="Times New Roman"/>
          <w:sz w:val="22"/>
          <w:szCs w:val="22"/>
        </w:rPr>
        <w:t>“</w:t>
      </w:r>
      <w:r w:rsidRPr="3676AEA2" w:rsidR="002C260E">
        <w:rPr>
          <w:rFonts w:ascii="Times New Roman" w:hAnsi="Times New Roman" w:eastAsia="Times New Roman" w:cs="Times New Roman"/>
          <w:sz w:val="22"/>
          <w:szCs w:val="22"/>
        </w:rPr>
        <w:t>) für alle Verluste, Schäden, Bußgelder, Kosten oder Auslagen (einschließlich Anwaltskosten und Auslagen) entschädigt, die der entschädigten Partei aufgrund einer Verletzung des Schutzes personenbezogener Daten durch den Anbieter in Bezug auf die vom Anbieter im Zusammenhang mit der Vereinbarung verarbeiteten personenbezogenen Daten entstehen. Jegliche Haftung im Rahmen dieses Abschnitts unterliegt den geltenden Haftungsbeschränkungen oder -ausschlüssen der Vereinbarung, es sei denn, eine solche Haftung ist das Ergebnis einer Fahrlässigkeit oder eines vorsätzlichen Fehlverhaltens des Anbieters; in diesem Fall gelten keine Beschränkungen oder Ausschlüsse.</w:t>
      </w:r>
    </w:p>
    <w:p w:rsidRPr="0040051E" w:rsidR="00EF7673" w:rsidP="3676AEA2" w:rsidRDefault="00EF7673" w14:paraId="5010A2AC" w14:textId="77777777">
      <w:pPr>
        <w:pStyle w:val="BodyText"/>
        <w:numPr>
          <w:ilvl w:val="0"/>
          <w:numId w:val="29"/>
        </w:numPr>
        <w:spacing w:before="192" w:beforeLines="80" w:after="192" w:afterLines="80" w:line="240" w:lineRule="auto"/>
        <w:rPr>
          <w:rFonts w:ascii="Times New Roman" w:hAnsi="Times New Roman" w:eastAsia="Times New Roman" w:cs="Times New Roman"/>
          <w:i w:val="1"/>
          <w:iCs w:val="1"/>
          <w:sz w:val="22"/>
          <w:szCs w:val="22"/>
        </w:rPr>
      </w:pPr>
      <w:r w:rsidRPr="3676AEA2" w:rsidR="00EF7673">
        <w:rPr>
          <w:rFonts w:ascii="Times New Roman" w:hAnsi="Times New Roman" w:eastAsia="Times New Roman" w:cs="Times New Roman"/>
          <w:i w:val="1"/>
          <w:iCs w:val="1"/>
          <w:sz w:val="22"/>
          <w:szCs w:val="22"/>
        </w:rPr>
        <w:t>Definitionen</w:t>
      </w:r>
    </w:p>
    <w:p w:rsidRPr="0040051E" w:rsidR="00EF7673" w:rsidP="3676AEA2" w:rsidRDefault="00EF7673" w14:paraId="34CA2800" w14:textId="114B5420">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EF7673">
        <w:rPr>
          <w:rFonts w:ascii="Times New Roman" w:hAnsi="Times New Roman" w:eastAsia="Times New Roman" w:cs="Times New Roman"/>
          <w:sz w:val="22"/>
          <w:szCs w:val="22"/>
        </w:rPr>
        <w:t>„Datenschutzgesetz</w:t>
      </w:r>
      <w:r w:rsidRPr="3676AEA2" w:rsidR="002173FD">
        <w:rPr>
          <w:rFonts w:ascii="Times New Roman" w:hAnsi="Times New Roman" w:eastAsia="Times New Roman" w:cs="Times New Roman"/>
          <w:sz w:val="22"/>
          <w:szCs w:val="22"/>
        </w:rPr>
        <w:t>“</w:t>
      </w:r>
      <w:r w:rsidRPr="3676AEA2" w:rsidR="00EF7673">
        <w:rPr>
          <w:rFonts w:ascii="Times New Roman" w:hAnsi="Times New Roman" w:eastAsia="Times New Roman" w:cs="Times New Roman"/>
          <w:sz w:val="22"/>
          <w:szCs w:val="22"/>
        </w:rPr>
        <w:t xml:space="preserve"> bezeichnet alle anwendbaren Gesetze zum Datenschutz, zur Datensicherheit oder zum Schutz der Privatsphäre, einschließlich der EU-Datenschutzgrundverordnung und aller damit verbundenen nationalen Umsetzungsgesetze, des Health Insurance </w:t>
      </w:r>
      <w:r w:rsidRPr="3676AEA2" w:rsidR="00EF7673">
        <w:rPr>
          <w:rFonts w:ascii="Times New Roman" w:hAnsi="Times New Roman" w:eastAsia="Times New Roman" w:cs="Times New Roman"/>
          <w:sz w:val="22"/>
          <w:szCs w:val="22"/>
        </w:rPr>
        <w:t>Portability</w:t>
      </w:r>
      <w:r w:rsidRPr="3676AEA2" w:rsidR="00EF7673">
        <w:rPr>
          <w:rFonts w:ascii="Times New Roman" w:hAnsi="Times New Roman" w:eastAsia="Times New Roman" w:cs="Times New Roman"/>
          <w:sz w:val="22"/>
          <w:szCs w:val="22"/>
        </w:rPr>
        <w:t xml:space="preserve"> and </w:t>
      </w:r>
      <w:r w:rsidRPr="3676AEA2" w:rsidR="00EF7673">
        <w:rPr>
          <w:rFonts w:ascii="Times New Roman" w:hAnsi="Times New Roman" w:eastAsia="Times New Roman" w:cs="Times New Roman"/>
          <w:sz w:val="22"/>
          <w:szCs w:val="22"/>
        </w:rPr>
        <w:t>Accountability</w:t>
      </w:r>
      <w:r w:rsidRPr="3676AEA2" w:rsidR="00EF7673">
        <w:rPr>
          <w:rFonts w:ascii="Times New Roman" w:hAnsi="Times New Roman" w:eastAsia="Times New Roman" w:cs="Times New Roman"/>
          <w:sz w:val="22"/>
          <w:szCs w:val="22"/>
        </w:rPr>
        <w:t xml:space="preserve"> Act, des California Privacy Rights Act und aller anderen nationalen, staatlichen, bundesweiten, landesweiten oder regionalen Gesetze zum Datenschutz, zur Datensicherheit oder zum</w:t>
      </w:r>
      <w:r w:rsidRPr="3676AEA2" w:rsidR="006A6176">
        <w:rPr>
          <w:rFonts w:ascii="Times New Roman" w:hAnsi="Times New Roman" w:eastAsia="Times New Roman" w:cs="Times New Roman"/>
          <w:sz w:val="22"/>
          <w:szCs w:val="22"/>
        </w:rPr>
        <w:t> </w:t>
      </w:r>
      <w:r w:rsidRPr="3676AEA2" w:rsidR="00EF7673">
        <w:rPr>
          <w:rFonts w:ascii="Times New Roman" w:hAnsi="Times New Roman" w:eastAsia="Times New Roman" w:cs="Times New Roman"/>
          <w:sz w:val="22"/>
          <w:szCs w:val="22"/>
        </w:rPr>
        <w:t>Schutz der Privatsphäre.</w:t>
      </w:r>
    </w:p>
    <w:p w:rsidRPr="0040051E" w:rsidR="00EF7673" w:rsidP="3676AEA2" w:rsidRDefault="00EF7673" w14:paraId="5FD99797" w14:textId="236EF6A1">
      <w:pPr>
        <w:pStyle w:val="BodyText"/>
        <w:keepNext w:val="1"/>
        <w:keepLines w:val="1"/>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EF7673">
        <w:rPr>
          <w:rFonts w:ascii="Times New Roman" w:hAnsi="Times New Roman" w:eastAsia="Times New Roman" w:cs="Times New Roman"/>
          <w:sz w:val="22"/>
          <w:szCs w:val="22"/>
        </w:rPr>
        <w:t>„Personenbezogene Daten</w:t>
      </w:r>
      <w:r w:rsidRPr="3676AEA2" w:rsidR="002173FD">
        <w:rPr>
          <w:rFonts w:ascii="Times New Roman" w:hAnsi="Times New Roman" w:eastAsia="Times New Roman" w:cs="Times New Roman"/>
          <w:sz w:val="22"/>
          <w:szCs w:val="22"/>
        </w:rPr>
        <w:t>“</w:t>
      </w:r>
      <w:r w:rsidRPr="3676AEA2" w:rsidR="00EF7673">
        <w:rPr>
          <w:rFonts w:ascii="Times New Roman" w:hAnsi="Times New Roman" w:eastAsia="Times New Roman" w:cs="Times New Roman"/>
          <w:sz w:val="22"/>
          <w:szCs w:val="22"/>
        </w:rPr>
        <w:t xml:space="preserve"> bezeichnet alle Daten im Zusammenhang mit der Vereinbarung, die sich auf eine identifizierte oder identifizierbare Person beziehen, einschließlich Daten, die eine Person identifizieren oder die verwendet werden könnten, um eine Person zu identifizieren, zu lokalisieren, zu verfolgen oder zu kontaktieren. Personenbezogene Daten umfassen sowohl direkt identifizierbare Informationen, wie z. B. Name, Identifikationsnummer oder eindeutige Berufsbezeichnung, als auch indirekt identifizierbare Informationen, wie z. B. Geburtsdatum, eindeutige Kennung eines mobilen oder tragbaren Geräts, Informationen, die zur Identifizierung eines Haushalts verwendet werden könnten, Telefonnummern, verschlüsselte Daten, Online-Kennungen, wie z. B. IP-Adressen, oder persönliche Aktivitäten, Verhaltensweisen oder Vorlieben, und umfassen alle Daten, die im Sinne des</w:t>
      </w:r>
      <w:r w:rsidRPr="3676AEA2" w:rsidR="006A6176">
        <w:rPr>
          <w:rFonts w:ascii="Times New Roman" w:hAnsi="Times New Roman" w:eastAsia="Times New Roman" w:cs="Times New Roman"/>
          <w:sz w:val="22"/>
          <w:szCs w:val="22"/>
        </w:rPr>
        <w:t> </w:t>
      </w:r>
      <w:r w:rsidRPr="3676AEA2" w:rsidR="00EF7673">
        <w:rPr>
          <w:rFonts w:ascii="Times New Roman" w:hAnsi="Times New Roman" w:eastAsia="Times New Roman" w:cs="Times New Roman"/>
          <w:sz w:val="22"/>
          <w:szCs w:val="22"/>
        </w:rPr>
        <w:t xml:space="preserve">Datenschutzgesetzes </w:t>
      </w:r>
      <w:r w:rsidRPr="3676AEA2" w:rsidR="00050406">
        <w:rPr>
          <w:rFonts w:ascii="Times New Roman" w:hAnsi="Times New Roman" w:eastAsia="Times New Roman" w:cs="Times New Roman"/>
          <w:sz w:val="22"/>
          <w:szCs w:val="22"/>
        </w:rPr>
        <w:t>„</w:t>
      </w:r>
      <w:r w:rsidRPr="3676AEA2" w:rsidR="00EF7673">
        <w:rPr>
          <w:rFonts w:ascii="Times New Roman" w:hAnsi="Times New Roman" w:eastAsia="Times New Roman" w:cs="Times New Roman"/>
          <w:sz w:val="22"/>
          <w:szCs w:val="22"/>
        </w:rPr>
        <w:t>personenbezogene Daten</w:t>
      </w:r>
      <w:r w:rsidRPr="3676AEA2" w:rsidR="00050406">
        <w:rPr>
          <w:rFonts w:ascii="Times New Roman" w:hAnsi="Times New Roman" w:eastAsia="Times New Roman" w:cs="Times New Roman"/>
          <w:sz w:val="22"/>
          <w:szCs w:val="22"/>
        </w:rPr>
        <w:t>“</w:t>
      </w:r>
      <w:r w:rsidRPr="3676AEA2" w:rsidR="00EF7673">
        <w:rPr>
          <w:rFonts w:ascii="Times New Roman" w:hAnsi="Times New Roman" w:eastAsia="Times New Roman" w:cs="Times New Roman"/>
          <w:sz w:val="22"/>
          <w:szCs w:val="22"/>
        </w:rPr>
        <w:t xml:space="preserve"> darstellen.</w:t>
      </w:r>
    </w:p>
    <w:p w:rsidRPr="0040051E" w:rsidR="00EF7673" w:rsidP="3676AEA2" w:rsidRDefault="00EF7673" w14:paraId="4A346270" w14:textId="35AC1B2D">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EF7673">
        <w:rPr>
          <w:rFonts w:ascii="Times New Roman" w:hAnsi="Times New Roman" w:eastAsia="Times New Roman" w:cs="Times New Roman"/>
          <w:sz w:val="22"/>
          <w:szCs w:val="22"/>
        </w:rPr>
        <w:t>„Verarbeitung</w:t>
      </w:r>
      <w:r w:rsidRPr="3676AEA2" w:rsidR="002173FD">
        <w:rPr>
          <w:rFonts w:ascii="Times New Roman" w:hAnsi="Times New Roman" w:eastAsia="Times New Roman" w:cs="Times New Roman"/>
          <w:sz w:val="22"/>
          <w:szCs w:val="22"/>
        </w:rPr>
        <w:t>“</w:t>
      </w:r>
      <w:r w:rsidRPr="3676AEA2" w:rsidR="00EF7673">
        <w:rPr>
          <w:rFonts w:ascii="Times New Roman" w:hAnsi="Times New Roman" w:eastAsia="Times New Roman" w:cs="Times New Roman"/>
          <w:sz w:val="22"/>
          <w:szCs w:val="22"/>
        </w:rPr>
        <w:t xml:space="preserve"> bedeutet die Durchführung von Vorgängen oder einer Reihe von Vorgängen an personenbezogenen Daten oder einem Satz personenbezogener Daten, sei es durch automatisierte Mittel, wie z. B. Erhebung, Aufzeichnung, Organisation, Strukturierung, Speicherung, Zugriff, Anpassung oder Veränderung, Abruf, Abfrage, Nutzung, Offenlegung durch Übermittlung, Verbreitung oder sonstige Bereitstellung, Auswertung, Analyse, Berichterstattung, Weitergabe, Zuordnung oder Verknüpfung, Einschränkung, Löschung oder Vernichtung.</w:t>
      </w:r>
    </w:p>
    <w:p w:rsidRPr="0040051E" w:rsidR="00EF7673" w:rsidP="3676AEA2" w:rsidRDefault="00EF7673" w14:paraId="6BAD7335" w14:textId="05710177">
      <w:pPr>
        <w:pStyle w:val="BodyText"/>
        <w:numPr>
          <w:ilvl w:val="1"/>
          <w:numId w:val="29"/>
        </w:numPr>
        <w:spacing w:before="192" w:beforeLines="80" w:after="192" w:afterLines="80" w:line="240" w:lineRule="auto"/>
        <w:rPr>
          <w:rFonts w:ascii="Times New Roman" w:hAnsi="Times New Roman" w:eastAsia="Times New Roman" w:cs="Times New Roman"/>
          <w:spacing w:val="-3"/>
          <w:sz w:val="22"/>
          <w:szCs w:val="22"/>
        </w:rPr>
      </w:pPr>
      <w:r w:rsidRPr="3676AEA2" w:rsidR="00EF7673">
        <w:rPr>
          <w:rFonts w:ascii="Times New Roman" w:hAnsi="Times New Roman" w:eastAsia="Times New Roman" w:cs="Times New Roman"/>
          <w:spacing w:val="-3"/>
          <w:sz w:val="22"/>
          <w:szCs w:val="22"/>
        </w:rPr>
        <w:t>„Verletzung des Schutzes personenbezogener Daten“ bezeichnet eine versehentliche oder unrechtmäßige Zerstörung, einen Verlust, eine Änderung, eine unbefugte Offenlegung, Nutzung oder einen unbefugten Zugriff auf personenbezogene Daten, die übermittelt, gespeichert oder anderweitig verarbeitet werden.</w:t>
      </w:r>
    </w:p>
    <w:p w:rsidRPr="0040051E" w:rsidR="00CA5197" w:rsidP="3676AEA2" w:rsidRDefault="00CA5197" w14:paraId="4D3A5109" w14:textId="0C89C626">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CA5197">
        <w:rPr>
          <w:rFonts w:ascii="Times New Roman" w:hAnsi="Times New Roman" w:eastAsia="Times New Roman" w:cs="Times New Roman"/>
          <w:sz w:val="22"/>
          <w:szCs w:val="22"/>
        </w:rPr>
        <w:t>„Standardvertragsklauseln“ bezeichnet die Standardvertragsklauseln für die Übermittlung personenbezogener Daten in Drittländer, die nach Einschätzung der Europäischen Kommission kein angemessenes Schutzniveau für personenbezogene Daten bieten, gemäß der von der Europäischen Kommission am 4. Juni 2021 veröffentlichten Fassung, die von Zeit zu Zeit aktualisiert werden kann.</w:t>
      </w:r>
    </w:p>
    <w:p w:rsidRPr="0040051E" w:rsidR="00EF7673" w:rsidP="3676AEA2" w:rsidRDefault="00EF7673" w14:paraId="72A4BD1C" w14:textId="0E863C09">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EF7673">
        <w:rPr>
          <w:rFonts w:ascii="Times New Roman" w:hAnsi="Times New Roman" w:eastAsia="Times New Roman" w:cs="Times New Roman"/>
          <w:sz w:val="22"/>
          <w:szCs w:val="22"/>
        </w:rPr>
        <w:t>Falls diese Definitionen den Geltungsbereich verwandter Definitionen des Datenschutzgesetzes einschränken oder reduzieren, wird die Definition so erweitert, dass sie mit der Definition des betreffenden Datenschutzgesetzes übereinstimmt.</w:t>
      </w:r>
    </w:p>
    <w:p w:rsidRPr="0040051E" w:rsidR="009D4406" w:rsidP="3676AEA2" w:rsidRDefault="009D4406" w14:paraId="5C3F7EBD" w14:textId="5AD8B479">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9D4406">
        <w:rPr>
          <w:rFonts w:ascii="Times New Roman" w:hAnsi="Times New Roman" w:eastAsia="Times New Roman" w:cs="Times New Roman"/>
          <w:sz w:val="22"/>
          <w:szCs w:val="22"/>
        </w:rPr>
        <w:t>In Ermangelung einer Definition in diesem Abschnitt ist ein Begriff in einer Weise auszulegen, die</w:t>
      </w:r>
      <w:r w:rsidRPr="3676AEA2" w:rsidR="006A6176">
        <w:rPr>
          <w:rFonts w:ascii="Times New Roman" w:hAnsi="Times New Roman" w:eastAsia="Times New Roman" w:cs="Times New Roman"/>
          <w:sz w:val="22"/>
          <w:szCs w:val="22"/>
        </w:rPr>
        <w:t> </w:t>
      </w:r>
      <w:r w:rsidRPr="3676AEA2" w:rsidR="009D4406">
        <w:rPr>
          <w:rFonts w:ascii="Times New Roman" w:hAnsi="Times New Roman" w:eastAsia="Times New Roman" w:cs="Times New Roman"/>
          <w:sz w:val="22"/>
          <w:szCs w:val="22"/>
        </w:rPr>
        <w:t>mit allen anwendbaren Datenschutzgesetzen vereinbar ist.</w:t>
      </w:r>
    </w:p>
    <w:bookmarkEnd w:id="33"/>
    <w:p w:rsidRPr="0040051E" w:rsidR="00186DAF" w:rsidP="3676AEA2" w:rsidRDefault="00186DAF" w14:paraId="2A7A6EC1" w14:textId="756AA295">
      <w:pPr>
        <w:pStyle w:val="BodyText"/>
        <w:numPr>
          <w:ilvl w:val="0"/>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i w:val="1"/>
          <w:iCs w:val="1"/>
          <w:sz w:val="22"/>
          <w:szCs w:val="22"/>
        </w:rPr>
        <w:t>Auslegung</w:t>
      </w:r>
      <w:r w:rsidRPr="3676AEA2" w:rsidR="00186DAF">
        <w:rPr>
          <w:rFonts w:ascii="Times New Roman" w:hAnsi="Times New Roman" w:eastAsia="Times New Roman" w:cs="Times New Roman"/>
          <w:sz w:val="22"/>
          <w:szCs w:val="22"/>
        </w:rPr>
        <w:t xml:space="preserve">. </w:t>
      </w:r>
    </w:p>
    <w:p w:rsidRPr="0040051E" w:rsidR="00186DAF" w:rsidP="3676AEA2" w:rsidRDefault="00186DAF" w14:paraId="35F7AD1E" w14:textId="302A3392">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Definierte Begriffe, die in dieser DPA verwendet werden, aber hier nicht definiert sind, haben die an</w:t>
      </w:r>
      <w:r w:rsidRPr="3676AEA2" w:rsidR="006A6176">
        <w:rPr>
          <w:rFonts w:ascii="Times New Roman" w:hAnsi="Times New Roman" w:eastAsia="Times New Roman" w:cs="Times New Roman"/>
          <w:sz w:val="22"/>
          <w:szCs w:val="22"/>
        </w:rPr>
        <w:t> </w:t>
      </w:r>
      <w:r w:rsidRPr="3676AEA2" w:rsidR="00186DAF">
        <w:rPr>
          <w:rFonts w:ascii="Times New Roman" w:hAnsi="Times New Roman" w:eastAsia="Times New Roman" w:cs="Times New Roman"/>
          <w:sz w:val="22"/>
          <w:szCs w:val="22"/>
        </w:rPr>
        <w:t xml:space="preserve">anderer Stelle in dieser Vereinbarung festgelegte Bedeutung. </w:t>
      </w:r>
    </w:p>
    <w:p w:rsidRPr="0040051E" w:rsidR="00186DAF" w:rsidP="3676AEA2" w:rsidRDefault="00186DAF" w14:paraId="79B92AEA" w14:textId="73F781F8">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Die Wörter „umfassen“ und „einschließlich“ sind so aufzufassen, dass sie „einschließlich ohne Einschränkung</w:t>
      </w:r>
      <w:r w:rsidRPr="3676AEA2" w:rsidR="002173FD">
        <w:rPr>
          <w:rFonts w:ascii="Times New Roman" w:hAnsi="Times New Roman" w:eastAsia="Times New Roman" w:cs="Times New Roman"/>
          <w:sz w:val="22"/>
          <w:szCs w:val="22"/>
        </w:rPr>
        <w:t>“</w:t>
      </w:r>
      <w:r w:rsidRPr="3676AEA2" w:rsidR="00186DAF">
        <w:rPr>
          <w:rFonts w:ascii="Times New Roman" w:hAnsi="Times New Roman" w:eastAsia="Times New Roman" w:cs="Times New Roman"/>
          <w:sz w:val="22"/>
          <w:szCs w:val="22"/>
        </w:rPr>
        <w:t xml:space="preserve"> bedeuten. </w:t>
      </w:r>
    </w:p>
    <w:p w:rsidR="36C0CEC8" w:rsidP="3676AEA2" w:rsidRDefault="36C0CEC8" w14:paraId="3FB248F4" w14:textId="2049A36F">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36C0CEC8">
        <w:rPr>
          <w:rFonts w:ascii="Times New Roman" w:hAnsi="Times New Roman" w:eastAsia="Times New Roman" w:cs="Times New Roman"/>
          <w:sz w:val="22"/>
          <w:szCs w:val="22"/>
        </w:rPr>
        <w:t>Bei der Erfüllung ihrer Verpflichtungen aus dem Dienstleistungsvertrag und dieser DPA erkennen die Parteien an, dass die Unternehmensrichtlinie von MSD und seinen verbundenen Unternehmen verlangt, dass die Geschäfte von MSD im Einklang mit dem Wortlaut und dem Geist der geltenden Datenschutzgesetze, einschließlich der EU-Datenschutz-Grundverordnung, geführt werden. Für den Fall, dass beide Parteien nicht denselben Datenschutzgesetzen unterliegen, wird erwartet, dass beide Parteien alle in diesen Gesetzen enthaltenen relevanten Datenschutzstandards einhalten.</w:t>
      </w:r>
    </w:p>
    <w:p w:rsidRPr="0040051E" w:rsidR="00186DAF" w:rsidP="3676AEA2" w:rsidRDefault="00186DAF" w14:paraId="4FB05D1A" w14:textId="348CD942">
      <w:pPr>
        <w:pStyle w:val="BodyText"/>
        <w:numPr>
          <w:ilvl w:val="1"/>
          <w:numId w:val="29"/>
        </w:numPr>
        <w:spacing w:before="192" w:beforeLines="80" w:after="192" w:afterLines="80" w:line="240" w:lineRule="auto"/>
        <w:rPr>
          <w:rFonts w:ascii="Times New Roman" w:hAnsi="Times New Roman" w:eastAsia="Times New Roman" w:cs="Times New Roman"/>
          <w:spacing w:val="-2"/>
          <w:sz w:val="22"/>
          <w:szCs w:val="22"/>
        </w:rPr>
      </w:pPr>
      <w:r w:rsidRPr="3676AEA2" w:rsidR="00186DAF">
        <w:rPr>
          <w:rFonts w:ascii="Times New Roman" w:hAnsi="Times New Roman" w:eastAsia="Times New Roman" w:cs="Times New Roman"/>
          <w:spacing w:val="-2"/>
          <w:sz w:val="22"/>
          <w:szCs w:val="22"/>
        </w:rPr>
        <w:t xml:space="preserve">In Verbindung mit den vereinbarungsgemäßen Dienstleistungen kann der Anbieter personenbezogene Daten eines oder mehrerer verbundener Unternehmen des Unternehmens verarbeiten. In diesem Fall </w:t>
      </w:r>
      <w:bookmarkStart w:name="_Hlk1139303" w:id="34"/>
      <w:r w:rsidRPr="3676AEA2" w:rsidR="00186DAF">
        <w:rPr>
          <w:rFonts w:ascii="Times New Roman" w:hAnsi="Times New Roman" w:eastAsia="Times New Roman" w:cs="Times New Roman"/>
          <w:spacing w:val="-2"/>
          <w:sz w:val="22"/>
          <w:szCs w:val="22"/>
        </w:rPr>
        <w:t>gilt jedes dieser verbundenen Unternehmen des Unternehmens als „für die Verarbeitung Verantwortlicher</w:t>
      </w:r>
      <w:r w:rsidRPr="3676AEA2" w:rsidR="002173FD">
        <w:rPr>
          <w:rFonts w:ascii="Times New Roman" w:hAnsi="Times New Roman" w:eastAsia="Times New Roman" w:cs="Times New Roman"/>
          <w:spacing w:val="-2"/>
          <w:sz w:val="22"/>
          <w:szCs w:val="22"/>
        </w:rPr>
        <w:t>“</w:t>
      </w:r>
      <w:r w:rsidRPr="3676AEA2" w:rsidR="00186DAF">
        <w:rPr>
          <w:rFonts w:ascii="Times New Roman" w:hAnsi="Times New Roman" w:eastAsia="Times New Roman" w:cs="Times New Roman"/>
          <w:spacing w:val="-2"/>
          <w:sz w:val="22"/>
          <w:szCs w:val="22"/>
        </w:rPr>
        <w:t xml:space="preserve"> personenbezogener Daten und als Drittbegünstigter dieser DPA und ist berechtigt, sich auf alle Rechte und Schutzmaßnahmen zu berufen, die dem Unternehmen im Rahmen dieser DPA gewährt werden, unabhängig davon, ob dieses verbundene Unternehmen als Partei der Vereinbarung oder dieser DPA genannt ist</w:t>
      </w:r>
      <w:bookmarkEnd w:id="34"/>
      <w:r w:rsidRPr="3676AEA2" w:rsidR="00186DAF">
        <w:rPr>
          <w:rFonts w:ascii="Times New Roman" w:hAnsi="Times New Roman" w:eastAsia="Times New Roman" w:cs="Times New Roman"/>
          <w:spacing w:val="-2"/>
          <w:sz w:val="22"/>
          <w:szCs w:val="22"/>
        </w:rPr>
        <w:t xml:space="preserve">. </w:t>
      </w:r>
    </w:p>
    <w:p w:rsidRPr="0040051E" w:rsidR="00186DAF" w:rsidP="3676AEA2" w:rsidRDefault="00186DAF" w14:paraId="3BF07F4B" w14:textId="290489A6">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 xml:space="preserve">Diese DPA wird hiermit in die Vereinbarung aufgenommen und bildet einen Teil davon. </w:t>
      </w:r>
    </w:p>
    <w:p w:rsidRPr="0040051E" w:rsidR="00186DAF" w:rsidP="3676AEA2" w:rsidRDefault="00186DAF" w14:paraId="145039B7" w14:textId="5545A98E">
      <w:pPr>
        <w:pStyle w:val="BodyText"/>
        <w:numPr>
          <w:ilvl w:val="1"/>
          <w:numId w:val="29"/>
        </w:numPr>
        <w:spacing w:before="192" w:beforeLines="80" w:after="192" w:afterLines="80" w:line="240" w:lineRule="auto"/>
        <w:rPr>
          <w:rFonts w:ascii="Times New Roman" w:hAnsi="Times New Roman" w:eastAsia="Times New Roman" w:cs="Times New Roman"/>
          <w:spacing w:val="-2"/>
          <w:sz w:val="22"/>
          <w:szCs w:val="22"/>
        </w:rPr>
      </w:pPr>
      <w:bookmarkStart w:name="_Hlk6479881" w:id="35"/>
      <w:r w:rsidRPr="3676AEA2" w:rsidR="00186DAF">
        <w:rPr>
          <w:rFonts w:ascii="Times New Roman" w:hAnsi="Times New Roman" w:eastAsia="Times New Roman" w:cs="Times New Roman"/>
          <w:spacing w:val="-2"/>
          <w:sz w:val="22"/>
          <w:szCs w:val="22"/>
        </w:rPr>
        <w:t xml:space="preserve">Im Falle und im Ausmaß von Widersprüchen zwischen den Bedingungen der Vereinbarung und dieser DPA haben die Bedingungen dieser </w:t>
      </w:r>
      <w:r w:rsidRPr="3676AEA2" w:rsidR="00186DAF">
        <w:rPr>
          <w:rFonts w:ascii="Times New Roman" w:hAnsi="Times New Roman" w:eastAsia="Times New Roman" w:cs="Times New Roman"/>
          <w:spacing w:val="-2"/>
          <w:sz w:val="22"/>
          <w:szCs w:val="22"/>
        </w:rPr>
        <w:t xml:space="preserve">DPA Vorrang</w:t>
      </w:r>
      <w:r w:rsidRPr="3676AEA2" w:rsidR="00186DAF">
        <w:rPr>
          <w:rFonts w:ascii="Times New Roman" w:hAnsi="Times New Roman" w:eastAsia="Times New Roman" w:cs="Times New Roman"/>
          <w:spacing w:val="-2"/>
          <w:sz w:val="22"/>
          <w:szCs w:val="22"/>
        </w:rPr>
        <w:lastRenderedPageBreak/>
        <w:t xml:space="preserve">, </w:t>
      </w:r>
      <w:bookmarkStart w:name="_Hlk505280" w:id="36"/>
      <w:r w:rsidRPr="3676AEA2" w:rsidR="00186DAF">
        <w:rPr>
          <w:rFonts w:ascii="Times New Roman" w:hAnsi="Times New Roman" w:eastAsia="Times New Roman" w:cs="Times New Roman"/>
          <w:spacing w:val="-2"/>
          <w:sz w:val="22"/>
          <w:szCs w:val="22"/>
        </w:rPr>
        <w:t>es sei denn, die Bedingungen der Vereinbarung schützen die im Zusammenhang mit der Vereinbarung verarbeiteten personenbezogenen Daten besser; in diesem Fall haben die den besseren Schutz bietenden Bedingungen dieser Vereinbarung Vorrang</w:t>
      </w:r>
      <w:bookmarkEnd w:id="36"/>
      <w:r w:rsidRPr="3676AEA2" w:rsidR="00186DAF">
        <w:rPr>
          <w:rFonts w:ascii="Times New Roman" w:hAnsi="Times New Roman" w:eastAsia="Times New Roman" w:cs="Times New Roman"/>
          <w:spacing w:val="-2"/>
          <w:sz w:val="22"/>
          <w:szCs w:val="22"/>
        </w:rPr>
        <w:t xml:space="preserve">. </w:t>
      </w:r>
      <w:bookmarkEnd w:id="35"/>
    </w:p>
    <w:p w:rsidRPr="0040051E" w:rsidR="00186DAF" w:rsidP="3676AEA2" w:rsidRDefault="00186DAF" w14:paraId="64C2D04F" w14:textId="02867127">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 xml:space="preserve">Im Falle eines Widerspruchs zwischen den Bestimmungen dieser DPA und den Standardvertragsklauseln sind die Bestimmungen der Standardvertragsklauseln maßgebend. </w:t>
      </w:r>
    </w:p>
    <w:p w:rsidRPr="0040051E" w:rsidR="00186DAF" w:rsidP="3676AEA2" w:rsidRDefault="00186DAF" w14:paraId="20BE54B2" w14:textId="3CA82D51">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 xml:space="preserve">Sofern hierin nicht ausdrücklich geändert, bleiben die Bedingungen der Vereinbarung in vollem Umfang in Kraft und wirksam. </w:t>
      </w:r>
    </w:p>
    <w:p w:rsidRPr="0040051E" w:rsidR="00186DAF" w:rsidP="3676AEA2" w:rsidRDefault="00186DAF" w14:paraId="40C3FD04" w14:textId="02F217EB">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 xml:space="preserve">Wenn diese DPA in englischer und in einer anderen Sprache verfasst wurde, ist im Falle von Unterschieden zwischen dem englischen und dem anderssprachigen Text die englische Version maßgebend. </w:t>
      </w:r>
    </w:p>
    <w:p w:rsidRPr="0040051E" w:rsidR="00186DAF" w:rsidP="3676AEA2" w:rsidRDefault="00186DAF" w14:paraId="39CE5FD1" w14:textId="49BA0607">
      <w:pPr>
        <w:pStyle w:val="BodyText"/>
        <w:numPr>
          <w:ilvl w:val="1"/>
          <w:numId w:val="29"/>
        </w:numPr>
        <w:spacing w:before="192" w:beforeLines="80" w:after="192" w:afterLines="80" w:line="240" w:lineRule="auto"/>
        <w:rPr>
          <w:rFonts w:ascii="Times New Roman" w:hAnsi="Times New Roman" w:eastAsia="Times New Roman" w:cs="Times New Roman"/>
          <w:spacing w:val="-2"/>
          <w:sz w:val="22"/>
          <w:szCs w:val="22"/>
        </w:rPr>
      </w:pPr>
      <w:bookmarkStart w:name="_Hlk1139629" w:id="37"/>
      <w:r w:rsidRPr="3676AEA2" w:rsidR="00186DAF">
        <w:rPr>
          <w:rFonts w:ascii="Times New Roman" w:hAnsi="Times New Roman" w:eastAsia="Times New Roman" w:cs="Times New Roman"/>
          <w:spacing w:val="-2"/>
          <w:sz w:val="22"/>
          <w:szCs w:val="22"/>
        </w:rPr>
        <w:t xml:space="preserve">Überschriften in dieser DPA dienen ausschließlich der Übersichtlichkeit und stellen keinen Bestandteil dieser DPA dar und haben keinen Einfluss auf die Bedeutung oder Auslegung dieser DPA. </w:t>
      </w:r>
    </w:p>
    <w:p w:rsidRPr="0040051E" w:rsidR="00186DAF" w:rsidP="3676AEA2" w:rsidRDefault="00186DAF" w14:paraId="3D3E94D7" w14:textId="326FA949">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 xml:space="preserve">Anhänge und Anlagen zu dieser DPA gelten im gleichen Maße als Bestandteil dieser DPA, als wären sie wörtlich in dieser DPA aufgeführt. </w:t>
      </w:r>
    </w:p>
    <w:p w:rsidRPr="0040051E" w:rsidR="00186DAF" w:rsidP="3676AEA2" w:rsidRDefault="00186DAF" w14:paraId="24E0D3A0" w14:textId="2661B864">
      <w:pPr>
        <w:pStyle w:val="BodyText"/>
        <w:numPr>
          <w:ilvl w:val="1"/>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sz w:val="22"/>
          <w:szCs w:val="22"/>
        </w:rPr>
        <w:t>Die Bestimmungen dieser DPA sind trennbar. Sollte ein Satz, eine Klausel oder eine Bestimmung vollständig oder teilweise ungültig oder nicht durchsetzbar sein, betrifft diese Ungültigkeit oder Nichtdurchsetzbarkeit ausschließlich diesen Satz, diese Klausel oder diese Bestimmung und bleiben</w:t>
      </w:r>
      <w:r w:rsidRPr="3676AEA2" w:rsidR="006A6176">
        <w:rPr>
          <w:rFonts w:ascii="Times New Roman" w:hAnsi="Times New Roman" w:eastAsia="Times New Roman" w:cs="Times New Roman"/>
          <w:sz w:val="22"/>
          <w:szCs w:val="22"/>
        </w:rPr>
        <w:t> </w:t>
      </w:r>
      <w:r w:rsidRPr="3676AEA2" w:rsidR="00186DAF">
        <w:rPr>
          <w:rFonts w:ascii="Times New Roman" w:hAnsi="Times New Roman" w:eastAsia="Times New Roman" w:cs="Times New Roman"/>
          <w:sz w:val="22"/>
          <w:szCs w:val="22"/>
        </w:rPr>
        <w:t>die übrigen Bestimmungen dieser DPA uneingeschränkt rechtswirksam</w:t>
      </w:r>
      <w:bookmarkEnd w:id="37"/>
      <w:r w:rsidRPr="3676AEA2" w:rsidR="00186DAF">
        <w:rPr>
          <w:rFonts w:ascii="Times New Roman" w:hAnsi="Times New Roman" w:eastAsia="Times New Roman" w:cs="Times New Roman"/>
          <w:sz w:val="22"/>
          <w:szCs w:val="22"/>
        </w:rPr>
        <w:t>.</w:t>
      </w:r>
    </w:p>
    <w:p w:rsidRPr="0040051E" w:rsidR="00CD7E79" w:rsidP="3676AEA2" w:rsidRDefault="00CD7E79" w14:paraId="135F56B5" w14:textId="2862904E">
      <w:pPr>
        <w:pStyle w:val="ListParagraph"/>
        <w:numPr>
          <w:ilvl w:val="1"/>
          <w:numId w:val="29"/>
        </w:numPr>
        <w:spacing w:before="192" w:beforeLines="80" w:after="192" w:afterLines="80"/>
        <w:rPr>
          <w:rFonts w:ascii="Times New Roman" w:hAnsi="Times New Roman" w:eastAsia="Times New Roman" w:cs="Times New Roman"/>
          <w:sz w:val="22"/>
          <w:szCs w:val="22"/>
        </w:rPr>
      </w:pPr>
      <w:r w:rsidRPr="3676AEA2" w:rsidR="00CD7E79">
        <w:rPr>
          <w:rFonts w:ascii="Times New Roman" w:hAnsi="Times New Roman" w:eastAsia="Times New Roman" w:cs="Times New Roman"/>
          <w:sz w:val="22"/>
          <w:szCs w:val="22"/>
        </w:rPr>
        <w:t>Diese DPA regelt die Verarbeitung personenbezogener Daten im Zusammenhang mit den Dienstleistungen und ergänzt die Bedingungen der auf die Dienstleistungen anwendbaren Vereinbarung, es sei denn, das Unternehmen und der Anbieter haben eine andere DPA abgeschlossen,</w:t>
      </w:r>
      <w:r w:rsidRPr="3676AEA2" w:rsidR="006A6176">
        <w:rPr>
          <w:rFonts w:ascii="Times New Roman" w:hAnsi="Times New Roman" w:eastAsia="Times New Roman" w:cs="Times New Roman"/>
          <w:sz w:val="22"/>
          <w:szCs w:val="22"/>
        </w:rPr>
        <w:t> </w:t>
      </w:r>
      <w:r w:rsidRPr="3676AEA2" w:rsidR="00CD7E79">
        <w:rPr>
          <w:rFonts w:ascii="Times New Roman" w:hAnsi="Times New Roman" w:eastAsia="Times New Roman" w:cs="Times New Roman"/>
          <w:sz w:val="22"/>
          <w:szCs w:val="22"/>
        </w:rPr>
        <w:t xml:space="preserve">der auf bestimmte Dienstleistungen anwendbar ist. </w:t>
      </w:r>
    </w:p>
    <w:p w:rsidRPr="0040051E" w:rsidR="002E18D9" w:rsidP="3676AEA2" w:rsidRDefault="002E18D9" w14:paraId="395CEF99" w14:textId="38D1E53F">
      <w:pPr>
        <w:pStyle w:val="ListParagraph"/>
        <w:numPr>
          <w:ilvl w:val="1"/>
          <w:numId w:val="29"/>
        </w:numPr>
        <w:spacing w:before="192" w:beforeLines="80" w:after="192" w:afterLines="80"/>
        <w:rPr>
          <w:rFonts w:ascii="Times New Roman" w:hAnsi="Times New Roman" w:eastAsia="Times New Roman" w:cs="Times New Roman"/>
          <w:sz w:val="22"/>
          <w:szCs w:val="22"/>
        </w:rPr>
      </w:pPr>
      <w:r w:rsidRPr="3676AEA2" w:rsidR="002E18D9">
        <w:rPr>
          <w:rFonts w:ascii="Times New Roman" w:hAnsi="Times New Roman" w:eastAsia="Times New Roman" w:cs="Times New Roman"/>
          <w:sz w:val="22"/>
          <w:szCs w:val="22"/>
        </w:rPr>
        <w:t>Diese DPA kann in einer beliebigen Anzahl Ausfertigungen geschlossen werden, die alle zusammen einen einzigen und denselben Vertrag darstellen. Jede Partei kann diese DPA durch Unterzeichnung einer Ausfertigung eingehen.</w:t>
      </w:r>
    </w:p>
    <w:p w:rsidRPr="0040051E" w:rsidR="002E18D9" w:rsidP="3676AEA2" w:rsidRDefault="002E18D9" w14:paraId="3D6082F8" w14:textId="50ACF733">
      <w:pPr>
        <w:pStyle w:val="ListParagraph"/>
        <w:numPr>
          <w:ilvl w:val="1"/>
          <w:numId w:val="29"/>
        </w:numPr>
        <w:spacing w:before="192" w:beforeLines="80" w:after="192" w:afterLines="80"/>
        <w:rPr>
          <w:rFonts w:ascii="Times New Roman" w:hAnsi="Times New Roman" w:eastAsia="Times New Roman" w:cs="Times New Roman"/>
          <w:spacing w:val="-2"/>
          <w:sz w:val="22"/>
          <w:szCs w:val="22"/>
        </w:rPr>
      </w:pPr>
      <w:r w:rsidRPr="3676AEA2" w:rsidR="002E18D9">
        <w:rPr>
          <w:rFonts w:ascii="Times New Roman" w:hAnsi="Times New Roman" w:eastAsia="Times New Roman" w:cs="Times New Roman"/>
          <w:spacing w:val="-2"/>
          <w:sz w:val="22"/>
          <w:szCs w:val="22"/>
        </w:rPr>
        <w:t>Diese DPA stellt die gesamte Vereinbarung zwischen den Parteien in Bezug auf den Gegenstand dieser DPA dar und ersetzt (soweit gesetzlich zulässig) alle früheren Zusicherungen oder mündlichen oder schriftlichen Vereinbarungen zwischen den Parteien in Bezug auf diesen Gegenstand, vorausgesetzt, nichts in dieser DPA und keine der Parteien versucht, eine Haftung für betrügerische Angaben auszuschließen.</w:t>
      </w:r>
    </w:p>
    <w:p w:rsidRPr="0040051E" w:rsidR="002E18D9" w:rsidP="3676AEA2" w:rsidRDefault="002E18D9" w14:paraId="3A8D3B63" w14:textId="2194D774">
      <w:pPr>
        <w:pStyle w:val="ListParagraph"/>
        <w:numPr>
          <w:ilvl w:val="1"/>
          <w:numId w:val="29"/>
        </w:numPr>
        <w:spacing w:before="192" w:beforeLines="80" w:after="192" w:afterLines="80"/>
        <w:rPr>
          <w:rFonts w:ascii="Times New Roman" w:hAnsi="Times New Roman" w:eastAsia="Times New Roman" w:cs="Times New Roman"/>
          <w:sz w:val="22"/>
          <w:szCs w:val="22"/>
        </w:rPr>
      </w:pPr>
      <w:r w:rsidRPr="3676AEA2" w:rsidR="002E18D9">
        <w:rPr>
          <w:rFonts w:ascii="Times New Roman" w:hAnsi="Times New Roman" w:eastAsia="Times New Roman" w:cs="Times New Roman"/>
          <w:sz w:val="22"/>
          <w:szCs w:val="22"/>
        </w:rPr>
        <w:t xml:space="preserve">Die Bestimmungen der Vereinbarung bezüglich des geltenden Rechts und des Gerichtsstands finden auf diese </w:t>
      </w:r>
      <w:r w:rsidRPr="3676AEA2" w:rsidR="002E18D9">
        <w:rPr>
          <w:rFonts w:ascii="Times New Roman" w:hAnsi="Times New Roman" w:eastAsia="Times New Roman" w:cs="Times New Roman"/>
          <w:sz w:val="22"/>
          <w:szCs w:val="22"/>
        </w:rPr>
        <w:t>DPA Anwendung</w:t>
      </w:r>
      <w:r w:rsidRPr="3676AEA2" w:rsidR="002E18D9">
        <w:rPr>
          <w:rFonts w:ascii="Times New Roman" w:hAnsi="Times New Roman" w:eastAsia="Times New Roman" w:cs="Times New Roman"/>
          <w:sz w:val="22"/>
          <w:szCs w:val="22"/>
        </w:rPr>
        <w:t>.</w:t>
      </w:r>
    </w:p>
    <w:p w:rsidR="003D46BA" w:rsidP="3676AEA2" w:rsidRDefault="003D46BA" w14:paraId="7F950A75" w14:textId="00B0E6D6">
      <w:pPr>
        <w:pStyle w:val="ListParagraph"/>
        <w:numPr>
          <w:ilvl w:val="0"/>
          <w:numId w:val="29"/>
        </w:numPr>
        <w:spacing w:before="192" w:beforeLines="80" w:after="192" w:afterLines="80"/>
        <w:rPr>
          <w:rFonts w:ascii="Times New Roman" w:hAnsi="Times New Roman" w:eastAsia="Times New Roman" w:cs="Times New Roman"/>
          <w:sz w:val="22"/>
          <w:szCs w:val="22"/>
        </w:rPr>
      </w:pPr>
      <w:r w:rsidRPr="3676AEA2" w:rsidR="003D46BA">
        <w:rPr>
          <w:rFonts w:ascii="Times New Roman" w:hAnsi="Times New Roman" w:eastAsia="Times New Roman" w:cs="Times New Roman"/>
          <w:i w:val="1"/>
          <w:iCs w:val="1"/>
          <w:sz w:val="22"/>
          <w:szCs w:val="22"/>
        </w:rPr>
        <w:t>Beschränkungen für Updates</w:t>
      </w:r>
      <w:r w:rsidRPr="3676AEA2" w:rsidR="003D46BA">
        <w:rPr>
          <w:rFonts w:ascii="Times New Roman" w:hAnsi="Times New Roman" w:eastAsia="Times New Roman" w:cs="Times New Roman"/>
          <w:sz w:val="22"/>
          <w:szCs w:val="22"/>
        </w:rPr>
        <w:t xml:space="preserve">. </w:t>
      </w:r>
    </w:p>
    <w:p w:rsidRPr="00921FC5" w:rsidR="00921FC5" w:rsidP="3676AEA2" w:rsidRDefault="00921FC5" w14:paraId="54B61986" w14:textId="4BF9A6BE">
      <w:pPr>
        <w:pStyle w:val="ListParagraph"/>
        <w:numPr>
          <w:ilvl w:val="1"/>
          <w:numId w:val="29"/>
        </w:numPr>
        <w:spacing w:before="192" w:beforeLines="80" w:after="192" w:afterLines="80"/>
        <w:rPr>
          <w:rFonts w:ascii="Times New Roman" w:hAnsi="Times New Roman" w:eastAsia="Times New Roman" w:cs="Times New Roman"/>
          <w:sz w:val="22"/>
          <w:szCs w:val="22"/>
        </w:rPr>
      </w:pPr>
      <w:r w:rsidRPr="3676AEA2" w:rsidR="00921FC5">
        <w:rPr>
          <w:rFonts w:ascii="Times New Roman" w:hAnsi="Times New Roman" w:eastAsia="Times New Roman" w:cs="Times New Roman"/>
          <w:sz w:val="22"/>
          <w:szCs w:val="22"/>
        </w:rPr>
        <w:t>Wenn die Parteien die Vereinbarung erneuern, ändern, eine neue Leistungsbeschreibung unter der Vereinbarung ausstellen oder die Vereinbarung oder eine Leistungsbeschreibung unter der Vereinbarung in irgendeiner Weise ändern (ein "auslösendes Ereignis"), wird das neueste Dokument unter "</w:t>
      </w:r>
      <w:r w:rsidRPr="3676AEA2" w:rsidR="00960641">
        <w:rPr>
          <w:rFonts w:ascii="Times New Roman" w:hAnsi="Times New Roman" w:eastAsia="Times New Roman" w:cs="Times New Roman"/>
          <w:sz w:val="22"/>
          <w:szCs w:val="22"/>
        </w:rPr>
        <w:t>Data Processing Addendum</w:t>
      </w:r>
      <w:r w:rsidRPr="3676AEA2" w:rsidR="00921FC5">
        <w:rPr>
          <w:rFonts w:ascii="Times New Roman" w:hAnsi="Times New Roman" w:eastAsia="Times New Roman" w:cs="Times New Roman"/>
          <w:sz w:val="22"/>
          <w:szCs w:val="22"/>
        </w:rPr>
        <w:t xml:space="preserve">" an der Stelle </w:t>
      </w:r>
      <w:r>
        <w:fldChar w:fldCharType="begin"/>
      </w:r>
      <w:r>
        <w:instrText xml:space="preserve">HYPERLINK "https://www.msdprivacy.com/privacyterms/"</w:instrText>
      </w:r>
      <w:r>
        <w:fldChar w:fldCharType="separate"/>
      </w:r>
      <w:r w:rsidRPr="3676AEA2" w:rsidR="00921FC5">
        <w:rPr>
          <w:rStyle w:val="Hyperlink"/>
          <w:rFonts w:ascii="Times New Roman" w:hAnsi="Times New Roman" w:cs="Times New Roman"/>
          <w:lang w:val="es-CO"/>
        </w:rPr>
        <w:t>https://www.msdprivacy.com/privacyterms/</w:t>
      </w:r>
      <w:r w:rsidRPr="3676AEA2">
        <w:rPr>
          <w:rStyle w:val="Hyperlink"/>
          <w:rFonts w:ascii="Times New Roman" w:hAnsi="Times New Roman" w:cs="Times New Roman"/>
          <w:lang w:val="es-CO"/>
        </w:rPr>
        <w:fldChar w:fldCharType="end"/>
      </w:r>
      <w:r w:rsidRPr="3676AEA2" w:rsidR="00921FC5">
        <w:rPr>
          <w:rFonts w:ascii="Times New Roman" w:hAnsi="Times New Roman" w:eastAsia="Times New Roman" w:cs="Times New Roman"/>
          <w:sz w:val="22"/>
          <w:szCs w:val="22"/>
        </w:rPr>
        <w:t xml:space="preserve"> die Bedingungen dieses DPA ersetzen und außer Kraft setzen, bis das nächste auslösende Ereignis eintritt, es sei denn, es wird innerhalb von 30 Tagen nach dem auslösenden Ereignis Einspruch erhoben. Ungeachtet des Vorstehenden kann es Situationen geben, die eine sofortige Änderung der Bedingungen dieses DPA erfordern, die nur aus den in 7(b) dargelegten Gründen erfolgen darf und </w:t>
      </w:r>
      <w:r w:rsidRPr="3676AEA2" w:rsidR="00921FC5">
        <w:rPr>
          <w:rFonts w:ascii="Times New Roman" w:hAnsi="Times New Roman" w:eastAsia="Times New Roman" w:cs="Times New Roman"/>
          <w:sz w:val="22"/>
          <w:szCs w:val="22"/>
        </w:rPr>
        <w:t>nur in gutem Glauben und nach Sicherstellung, dass die neuen oder geänderten Bedingungen nur auf diejenigen beschränkt sind, die erforderlich sind, um mit neuen anwendbaren Datenschutzgesetzen, Rechtsprechung oder von relevanten Datenschutzbehörden herausgegebenen Richtlinien in Einklang zu kommen.</w:t>
      </w:r>
    </w:p>
    <w:p w:rsidR="00921FC5" w:rsidP="3676AEA2" w:rsidRDefault="00921FC5" w14:paraId="0B2BE132" w14:textId="77777777">
      <w:pPr>
        <w:pStyle w:val="ListParagraph"/>
        <w:spacing w:before="192" w:beforeLines="80" w:after="192" w:afterLines="80"/>
        <w:ind w:left="360"/>
        <w:rPr>
          <w:rFonts w:ascii="Times New Roman" w:hAnsi="Times New Roman" w:eastAsia="Times New Roman" w:cs="Times New Roman"/>
          <w:sz w:val="22"/>
          <w:szCs w:val="22"/>
        </w:rPr>
      </w:pPr>
    </w:p>
    <w:p w:rsidRPr="00921FC5" w:rsidR="00921FC5" w:rsidP="3676AEA2" w:rsidRDefault="00921FC5" w14:paraId="68FDFF8C" w14:textId="3CB20867">
      <w:pPr>
        <w:pStyle w:val="ListParagraph"/>
        <w:numPr>
          <w:ilvl w:val="1"/>
          <w:numId w:val="29"/>
        </w:numPr>
        <w:spacing w:before="192" w:beforeLines="80" w:after="192" w:afterLines="80"/>
        <w:rPr>
          <w:rFonts w:ascii="Times New Roman" w:hAnsi="Times New Roman" w:eastAsia="Times New Roman" w:cs="Times New Roman"/>
          <w:sz w:val="22"/>
          <w:szCs w:val="22"/>
        </w:rPr>
      </w:pPr>
      <w:r w:rsidRPr="3676AEA2" w:rsidR="00921FC5">
        <w:rPr>
          <w:rFonts w:ascii="Times New Roman" w:hAnsi="Times New Roman" w:eastAsia="Times New Roman" w:cs="Times New Roman"/>
          <w:sz w:val="22"/>
          <w:szCs w:val="22"/>
        </w:rPr>
        <w:t xml:space="preserve">Für den Fall, dass eines der folgenden Szenarien eintritt, stimmen die Parteien sofort den neuesten Bedingungen zu, die unter der oben genannten Adresse veröffentlicht sind, es sei denn, es wird innerhalb von 30 Tagen nach Bekanntgabe der neuen Bedingungen durch das Unternehmen an alle Einheiten, die angefordert haben, benachrichtigt zu werden, bei </w:t>
      </w:r>
      <w:r>
        <w:fldChar w:fldCharType="begin"/>
      </w:r>
      <w:r>
        <w:instrText xml:space="preserve">HYPERLINK "mailto:privacy_updates@msd.com"</w:instrText>
      </w:r>
      <w:r>
        <w:fldChar w:fldCharType="separate"/>
      </w:r>
      <w:r w:rsidRPr="3676AEA2" w:rsidR="00921FC5">
        <w:rPr>
          <w:rStyle w:val="Hyperlink"/>
          <w:rFonts w:ascii="Times New Roman" w:hAnsi="Times New Roman" w:cs="Times New Roman"/>
          <w:lang w:val="es-CO"/>
        </w:rPr>
        <w:t>privacy_updates@msd.com</w:t>
      </w:r>
      <w:r w:rsidRPr="3676AEA2">
        <w:rPr>
          <w:rStyle w:val="Hyperlink"/>
          <w:rFonts w:ascii="Times New Roman" w:hAnsi="Times New Roman" w:cs="Times New Roman"/>
          <w:lang w:val="es-CO"/>
        </w:rPr>
        <w:fldChar w:fldCharType="end"/>
      </w:r>
      <w:r w:rsidRPr="3676AEA2" w:rsidR="00921FC5">
        <w:rPr>
          <w:rFonts w:ascii="Times New Roman" w:hAnsi="Times New Roman" w:eastAsia="Times New Roman" w:cs="Times New Roman"/>
          <w:sz w:val="22"/>
          <w:szCs w:val="22"/>
          <w:lang w:val="es-CO"/>
        </w:rPr>
        <w:t xml:space="preserve"> </w:t>
      </w:r>
      <w:r w:rsidRPr="3676AEA2" w:rsidR="00921FC5">
        <w:rPr>
          <w:rFonts w:ascii="Times New Roman" w:hAnsi="Times New Roman" w:eastAsia="Times New Roman" w:cs="Times New Roman"/>
          <w:sz w:val="22"/>
          <w:szCs w:val="22"/>
        </w:rPr>
        <w:t>Einspruch erhoben:</w:t>
      </w:r>
      <w:r>
        <w:br/>
      </w:r>
    </w:p>
    <w:p w:rsidRPr="00921FC5" w:rsidR="00921FC5" w:rsidP="3676AEA2" w:rsidRDefault="00921FC5" w14:paraId="32859518" w14:textId="67C76DB8">
      <w:pPr>
        <w:pStyle w:val="ListParagraph"/>
        <w:numPr>
          <w:ilvl w:val="2"/>
          <w:numId w:val="29"/>
        </w:numPr>
        <w:spacing w:before="192" w:beforeLines="80" w:after="192" w:afterLines="80"/>
        <w:rPr>
          <w:rFonts w:ascii="Times New Roman" w:hAnsi="Times New Roman" w:eastAsia="Times New Roman" w:cs="Times New Roman"/>
          <w:sz w:val="22"/>
          <w:szCs w:val="22"/>
        </w:rPr>
      </w:pPr>
      <w:r w:rsidRPr="3676AEA2" w:rsidR="00921FC5">
        <w:rPr>
          <w:rFonts w:ascii="Times New Roman" w:hAnsi="Times New Roman" w:eastAsia="Times New Roman" w:cs="Times New Roman"/>
          <w:sz w:val="22"/>
          <w:szCs w:val="22"/>
        </w:rPr>
        <w:t>das anwendbare Datenschutzgesetz wurde auf eine Weise aktualisiert, bei der die bestehenden vertraglichen Bedingungen dieses DPA nicht ausreichen, um den Anforderungen des aktualisierten Gesetzes gerecht zu werden,</w:t>
      </w:r>
      <w:r>
        <w:br/>
      </w:r>
    </w:p>
    <w:p w:rsidRPr="00921FC5" w:rsidR="00921FC5" w:rsidP="3676AEA2" w:rsidRDefault="00921FC5" w14:paraId="56F31AB9" w14:textId="68C91B2F">
      <w:pPr>
        <w:pStyle w:val="ListParagraph"/>
        <w:numPr>
          <w:ilvl w:val="2"/>
          <w:numId w:val="29"/>
        </w:numPr>
        <w:spacing w:before="192" w:beforeLines="80" w:after="192" w:afterLines="80"/>
        <w:rPr>
          <w:rFonts w:ascii="Times New Roman" w:hAnsi="Times New Roman" w:eastAsia="Times New Roman" w:cs="Times New Roman"/>
          <w:sz w:val="22"/>
          <w:szCs w:val="22"/>
        </w:rPr>
      </w:pPr>
      <w:r w:rsidRPr="3676AEA2" w:rsidR="00921FC5">
        <w:rPr>
          <w:rFonts w:ascii="Times New Roman" w:hAnsi="Times New Roman" w:eastAsia="Times New Roman" w:cs="Times New Roman"/>
          <w:sz w:val="22"/>
          <w:szCs w:val="22"/>
        </w:rPr>
        <w:t>es gibt eine Änderung im anwendbaren Datenschutzgesetz, und die Parteien haben ein vernünftiges und legitimes Interesse daran, diese Bedingungen aufgrund der Gesetzesänderung zu ändern, zum Beispiel und ohne Einschränkung, durch Entfernen von Anforderungen, die nicht mehr notwendig sind, oder</w:t>
      </w:r>
      <w:r>
        <w:br/>
      </w:r>
    </w:p>
    <w:p w:rsidRPr="0040051E" w:rsidR="00921FC5" w:rsidP="3676AEA2" w:rsidRDefault="00921FC5" w14:paraId="5C49B409" w14:textId="50DA7500">
      <w:pPr>
        <w:pStyle w:val="ListParagraph"/>
        <w:numPr>
          <w:ilvl w:val="2"/>
          <w:numId w:val="29"/>
        </w:numPr>
        <w:spacing w:before="192" w:beforeLines="80" w:after="192" w:afterLines="80"/>
        <w:rPr>
          <w:rFonts w:ascii="Times New Roman" w:hAnsi="Times New Roman" w:eastAsia="Times New Roman" w:cs="Times New Roman"/>
          <w:sz w:val="22"/>
          <w:szCs w:val="22"/>
        </w:rPr>
      </w:pPr>
      <w:r w:rsidRPr="3676AEA2" w:rsidR="00921FC5">
        <w:rPr>
          <w:rFonts w:ascii="Times New Roman" w:hAnsi="Times New Roman" w:eastAsia="Times New Roman" w:cs="Times New Roman"/>
          <w:sz w:val="22"/>
          <w:szCs w:val="22"/>
        </w:rPr>
        <w:t>es gibt eine neue Rechtsprechung oder Richtlinien von relevanten Datenschutzbehörden, die eine vergleichbare Wirkung wie eine Gesetzesänderung gemäß (i) oder (ii) oben haben.</w:t>
      </w:r>
    </w:p>
    <w:p w:rsidRPr="0040051E" w:rsidR="00913D12" w:rsidP="3676AEA2" w:rsidRDefault="00913D12" w14:paraId="3EE9CC6C" w14:textId="77777777">
      <w:pPr>
        <w:pStyle w:val="ListParagraph"/>
        <w:numPr>
          <w:ilvl w:val="0"/>
          <w:numId w:val="29"/>
        </w:numPr>
        <w:spacing w:before="192" w:beforeLines="80" w:after="192" w:afterLines="80"/>
        <w:rPr>
          <w:rFonts w:ascii="Times New Roman" w:hAnsi="Times New Roman" w:eastAsia="Times New Roman" w:cs="Times New Roman"/>
          <w:sz w:val="22"/>
          <w:szCs w:val="22"/>
        </w:rPr>
      </w:pPr>
      <w:r w:rsidRPr="3676AEA2" w:rsidR="00913D12">
        <w:rPr>
          <w:rFonts w:ascii="Times New Roman" w:hAnsi="Times New Roman" w:eastAsia="Times New Roman" w:cs="Times New Roman"/>
          <w:i w:val="1"/>
          <w:iCs w:val="1"/>
          <w:sz w:val="22"/>
          <w:szCs w:val="22"/>
        </w:rPr>
        <w:t>Anwendbarkeit von Anhängen.</w:t>
      </w:r>
      <w:r w:rsidRPr="3676AEA2" w:rsidR="00913D12">
        <w:rPr>
          <w:rFonts w:ascii="Times New Roman" w:hAnsi="Times New Roman" w:eastAsia="Times New Roman" w:cs="Times New Roman"/>
          <w:sz w:val="22"/>
          <w:szCs w:val="22"/>
        </w:rPr>
        <w:t xml:space="preserve"> Die hier als Anlage 2 beigefügten Standardvertragsklauseln und die Ergänzungen in Anlage 3 gelten nur in dem Umfang, in dem sie nach geltendem Datenschutzrecht erforderlich sind. Die Parteien verpflichten sich, diese Klauseln und Zusätze nur insoweit einzuhalten, als sie mit den Anforderungen des anwendbaren Datenschutzrechts in der jeweiligen Rechtsordnung übereinstimmen und durch diese erforderlich sind.</w:t>
      </w:r>
    </w:p>
    <w:p w:rsidRPr="0040051E" w:rsidR="00CD7E79" w:rsidP="3676AEA2" w:rsidRDefault="00186DAF" w14:paraId="2F5841E4" w14:textId="027D5B73">
      <w:pPr>
        <w:pStyle w:val="BodyText"/>
        <w:numPr>
          <w:ilvl w:val="0"/>
          <w:numId w:val="29"/>
        </w:numPr>
        <w:spacing w:before="192" w:beforeLines="80" w:after="192" w:afterLines="80" w:line="240" w:lineRule="auto"/>
        <w:rPr>
          <w:rFonts w:ascii="Times New Roman" w:hAnsi="Times New Roman" w:eastAsia="Times New Roman" w:cs="Times New Roman"/>
          <w:sz w:val="22"/>
          <w:szCs w:val="22"/>
        </w:rPr>
      </w:pPr>
      <w:r w:rsidRPr="3676AEA2" w:rsidR="00186DAF">
        <w:rPr>
          <w:rFonts w:ascii="Times New Roman" w:hAnsi="Times New Roman" w:eastAsia="Times New Roman" w:cs="Times New Roman"/>
          <w:i w:val="1"/>
          <w:iCs w:val="1"/>
          <w:sz w:val="22"/>
          <w:szCs w:val="22"/>
        </w:rPr>
        <w:t>Mitteilungen</w:t>
      </w:r>
      <w:r w:rsidRPr="3676AEA2" w:rsidR="00186DAF">
        <w:rPr>
          <w:rFonts w:ascii="Times New Roman" w:hAnsi="Times New Roman" w:eastAsia="Times New Roman" w:cs="Times New Roman"/>
          <w:sz w:val="22"/>
          <w:szCs w:val="22"/>
        </w:rPr>
        <w:t>. Mitteilungen im Rahmen dieser DPA (jeweils als „Mitteilung“ bezeichnet) müssen in</w:t>
      </w:r>
      <w:r w:rsidRPr="3676AEA2" w:rsidR="0040051E">
        <w:rPr>
          <w:rFonts w:ascii="Times New Roman" w:hAnsi="Times New Roman" w:eastAsia="Times New Roman" w:cs="Times New Roman"/>
          <w:sz w:val="22"/>
          <w:szCs w:val="22"/>
        </w:rPr>
        <w:t> </w:t>
      </w:r>
      <w:r w:rsidRPr="3676AEA2" w:rsidR="00186DAF">
        <w:rPr>
          <w:rFonts w:ascii="Times New Roman" w:hAnsi="Times New Roman" w:eastAsia="Times New Roman" w:cs="Times New Roman"/>
          <w:sz w:val="22"/>
          <w:szCs w:val="22"/>
        </w:rPr>
        <w:t xml:space="preserve">schriftlicher Form erfolgen. </w:t>
      </w:r>
      <w:bookmarkStart w:name="_Hlk505322" w:id="38"/>
      <w:r w:rsidRPr="3676AEA2" w:rsidR="00186DAF">
        <w:rPr>
          <w:rFonts w:ascii="Times New Roman" w:hAnsi="Times New Roman" w:eastAsia="Times New Roman" w:cs="Times New Roman"/>
          <w:sz w:val="22"/>
          <w:szCs w:val="22"/>
        </w:rPr>
        <w:t>Mitteilungen im Rahmen dieser DPA müssen in Übereinstimmung mit</w:t>
      </w:r>
      <w:r w:rsidRPr="3676AEA2" w:rsidR="0040051E">
        <w:rPr>
          <w:rFonts w:ascii="Times New Roman" w:hAnsi="Times New Roman" w:eastAsia="Times New Roman" w:cs="Times New Roman"/>
          <w:sz w:val="22"/>
          <w:szCs w:val="22"/>
        </w:rPr>
        <w:t> </w:t>
      </w:r>
      <w:r w:rsidRPr="3676AEA2" w:rsidR="00186DAF">
        <w:rPr>
          <w:rFonts w:ascii="Times New Roman" w:hAnsi="Times New Roman" w:eastAsia="Times New Roman" w:cs="Times New Roman"/>
          <w:sz w:val="22"/>
          <w:szCs w:val="22"/>
        </w:rPr>
        <w:t xml:space="preserve">den Bestimmungen der jeweiligen Vereinbarung erfolgen, zusammen mit einer Kopie an das Unternehmen per E-Mail an </w:t>
      </w:r>
      <w:r>
        <w:fldChar w:fldCharType="begin"/>
      </w:r>
      <w:r>
        <w:instrText xml:space="preserve">HYPERLINK "mailto:msd_privacy_office@msd.com"</w:instrText>
      </w:r>
      <w:r>
        <w:fldChar w:fldCharType="separate"/>
      </w:r>
      <w:r w:rsidRPr="3676AEA2" w:rsidR="00186DAF">
        <w:rPr>
          <w:rStyle w:val="Hyperlink"/>
          <w:rFonts w:ascii="Times New Roman" w:hAnsi="Times New Roman" w:cs="Times New Roman" w:asciiTheme="majorBidi" w:hAnsiTheme="majorBidi" w:cstheme="majorBidi"/>
        </w:rPr>
        <w:t>msd_privacy_office@msd.com</w:t>
      </w:r>
      <w:r w:rsidRPr="3676AEA2">
        <w:rPr>
          <w:rStyle w:val="Hyperlink"/>
          <w:rFonts w:ascii="Times New Roman" w:hAnsi="Times New Roman" w:cs="Times New Roman" w:asciiTheme="majorBidi" w:hAnsiTheme="majorBidi" w:cstheme="majorBidi"/>
        </w:rPr>
        <w:fldChar w:fldCharType="end"/>
      </w:r>
      <w:r w:rsidRPr="3676AEA2" w:rsidR="00186DAF">
        <w:rPr>
          <w:rFonts w:ascii="Times New Roman" w:hAnsi="Times New Roman" w:eastAsia="Times New Roman" w:cs="Times New Roman"/>
          <w:sz w:val="22"/>
          <w:szCs w:val="22"/>
        </w:rPr>
        <w:t xml:space="preserve">, </w:t>
      </w:r>
      <w:bookmarkStart w:name="_Hlk10302939" w:id="39"/>
      <w:r w:rsidRPr="3676AEA2" w:rsidR="00186DAF">
        <w:rPr>
          <w:rFonts w:ascii="Times New Roman" w:hAnsi="Times New Roman" w:eastAsia="Times New Roman" w:cs="Times New Roman"/>
          <w:sz w:val="22"/>
          <w:szCs w:val="22"/>
        </w:rPr>
        <w:t>mit dem Betreff „Mitteilung des Anbieters zur DPA</w:t>
      </w:r>
      <w:r w:rsidRPr="3676AEA2" w:rsidR="002173FD">
        <w:rPr>
          <w:rFonts w:ascii="Times New Roman" w:hAnsi="Times New Roman" w:eastAsia="Times New Roman" w:cs="Times New Roman"/>
          <w:sz w:val="22"/>
          <w:szCs w:val="22"/>
        </w:rPr>
        <w:t>“</w:t>
      </w:r>
      <w:r w:rsidRPr="3676AEA2" w:rsidR="00186DAF">
        <w:rPr>
          <w:rFonts w:ascii="Times New Roman" w:hAnsi="Times New Roman" w:eastAsia="Times New Roman" w:cs="Times New Roman"/>
          <w:sz w:val="22"/>
          <w:szCs w:val="22"/>
        </w:rPr>
        <w:t xml:space="preserve"> oder im Falle einer Verletzung des Schutzes personenbezogener Daten „Dringend: Mitteilung der Verletzung des Schutzes personenbezogener Daten</w:t>
      </w:r>
      <w:bookmarkEnd w:id="39"/>
      <w:r w:rsidRPr="3676AEA2" w:rsidR="002173FD">
        <w:rPr>
          <w:rFonts w:ascii="Times New Roman" w:hAnsi="Times New Roman" w:eastAsia="Times New Roman" w:cs="Times New Roman"/>
          <w:sz w:val="22"/>
          <w:szCs w:val="22"/>
        </w:rPr>
        <w:t>“</w:t>
      </w:r>
      <w:r w:rsidRPr="3676AEA2" w:rsidR="00186DAF">
        <w:rPr>
          <w:rFonts w:ascii="Times New Roman" w:hAnsi="Times New Roman" w:eastAsia="Times New Roman" w:cs="Times New Roman"/>
          <w:sz w:val="22"/>
          <w:szCs w:val="22"/>
        </w:rPr>
        <w:t>.</w:t>
      </w:r>
      <w:bookmarkEnd w:id="38"/>
    </w:p>
    <w:p w:rsidRPr="0040051E" w:rsidR="00697FA9" w:rsidP="3676AEA2" w:rsidRDefault="00697FA9" w14:paraId="52C63B42" w14:textId="77777777">
      <w:pPr>
        <w:rPr>
          <w:rFonts w:ascii="Times New Roman" w:hAnsi="Times New Roman" w:eastAsia="Times New Roman" w:cs="Times New Roman"/>
          <w:b w:val="1"/>
          <w:bCs w:val="1"/>
          <w:sz w:val="22"/>
          <w:szCs w:val="22"/>
        </w:rPr>
      </w:pPr>
      <w:r w:rsidRPr="3676AEA2">
        <w:rPr>
          <w:rFonts w:ascii="Times New Roman" w:hAnsi="Times New Roman" w:eastAsia="Times New Roman" w:cs="Times New Roman"/>
          <w:sz w:val="22"/>
          <w:szCs w:val="22"/>
        </w:rPr>
        <w:br w:type="page"/>
      </w:r>
    </w:p>
    <w:p w:rsidRPr="0040051E" w:rsidR="00186DAF" w:rsidP="3676AEA2" w:rsidRDefault="00186DAF" w14:paraId="1FE626C7" w14:textId="4AD7C5A6">
      <w:pPr>
        <w:spacing w:before="192" w:beforeLines="80" w:after="192" w:afterLines="80" w:line="240" w:lineRule="auto"/>
        <w:jc w:val="center"/>
        <w:rPr>
          <w:rFonts w:ascii="Times New Roman" w:hAnsi="Times New Roman" w:eastAsia="Times New Roman" w:cs="Times New Roman"/>
          <w:sz w:val="22"/>
          <w:szCs w:val="22"/>
        </w:rPr>
      </w:pPr>
      <w:r w:rsidRPr="3676AEA2" w:rsidR="00186DAF">
        <w:rPr>
          <w:rFonts w:ascii="Times New Roman" w:hAnsi="Times New Roman" w:eastAsia="Times New Roman" w:cs="Times New Roman"/>
          <w:b w:val="1"/>
          <w:bCs w:val="1"/>
          <w:sz w:val="22"/>
          <w:szCs w:val="22"/>
        </w:rPr>
        <w:t>ANHANG 1 – Sicherheitsmaßnahmen in der Informationstechnologie</w:t>
      </w:r>
    </w:p>
    <w:p w:rsidR="56CE475E" w:rsidP="3676AEA2" w:rsidRDefault="56CE475E" w14:paraId="6E8AB1FE" w14:textId="197C57DA">
      <w:pPr>
        <w:pStyle w:val="ListParagraph"/>
        <w:numPr>
          <w:ilvl w:val="0"/>
          <w:numId w:val="34"/>
        </w:numPr>
        <w:spacing w:before="0" w:beforeAutospacing="off" w:after="0" w:afterAutospacing="off" w:line="276" w:lineRule="auto"/>
        <w:ind w:left="720" w:right="0" w:hanging="360"/>
        <w:jc w:val="both"/>
        <w:rPr>
          <w:rFonts w:ascii="Times New Roman" w:hAnsi="Times New Roman" w:eastAsia="Times New Roman" w:cs="Times New Roman"/>
          <w:noProof w:val="0"/>
          <w:sz w:val="22"/>
          <w:szCs w:val="22"/>
          <w:lang w:val="de"/>
        </w:rPr>
      </w:pPr>
      <w:r w:rsidRPr="3676AEA2" w:rsidR="56CE475E">
        <w:rPr>
          <w:rFonts w:ascii="Times New Roman" w:hAnsi="Times New Roman" w:eastAsia="Times New Roman" w:cs="Times New Roman"/>
          <w:noProof w:val="0"/>
          <w:sz w:val="22"/>
          <w:szCs w:val="22"/>
          <w:lang w:val="de"/>
        </w:rPr>
        <w:t>Definitionen – Bei Verwendung in dieser Anlage hat jeder der folgenden definierten Begriffe die unten für diesen Begriff gegebene Definition. Definierte Begriffe, die in dieser Anlage verwendet, aber hierin nicht definiert werden, haben die im Vertrag an anderer Stelle festgelegte Bedeutung.</w:t>
      </w:r>
    </w:p>
    <w:p w:rsidR="56CE475E" w:rsidP="3676AEA2" w:rsidRDefault="56CE475E" w14:paraId="3A6351FA" w14:textId="1460C9A3">
      <w:pPr>
        <w:pStyle w:val="ListParagraph"/>
        <w:numPr>
          <w:ilvl w:val="1"/>
          <w:numId w:val="34"/>
        </w:numPr>
        <w:spacing w:before="0" w:beforeAutospacing="off" w:after="0" w:afterAutospacing="off" w:line="276" w:lineRule="auto"/>
        <w:ind w:left="1080" w:right="0" w:hanging="360"/>
        <w:jc w:val="both"/>
        <w:rPr>
          <w:rFonts w:ascii="Times New Roman" w:hAnsi="Times New Roman" w:eastAsia="Times New Roman" w:cs="Times New Roman"/>
          <w:noProof w:val="0"/>
          <w:sz w:val="22"/>
          <w:szCs w:val="22"/>
          <w:lang w:val="de"/>
        </w:rPr>
      </w:pPr>
      <w:r w:rsidRPr="3676AEA2" w:rsidR="56CE475E">
        <w:rPr>
          <w:rFonts w:ascii="Times New Roman" w:hAnsi="Times New Roman" w:eastAsia="Times New Roman" w:cs="Times New Roman"/>
          <w:noProof w:val="0"/>
          <w:sz w:val="22"/>
          <w:szCs w:val="22"/>
          <w:lang w:val="de"/>
        </w:rPr>
        <w:t>„Unternehmensinformationen“ bezeichnet alle Informationen des Unternehmens oder eines seiner verbundenen Unternehmen oder deren jeweiligen Lieferanten, Kunden oder anderen Geschäftspartner, die vom Lieferanten oder einem seiner Drittanbieter-Dienstleister im Zusammenhang mit den Dienstleistungen bereitgestellt, erhalten, erstellt oder generiert oder anderweitig verarbeitet werden und alle anderen Informationen, die gemäß dem Vertrag als vertraulich zu behandeln sind.</w:t>
      </w:r>
    </w:p>
    <w:p w:rsidR="56CE475E" w:rsidP="3676AEA2" w:rsidRDefault="56CE475E" w14:paraId="79105105" w14:textId="6060F3EC">
      <w:pPr>
        <w:pStyle w:val="ListParagraph"/>
        <w:numPr>
          <w:ilvl w:val="1"/>
          <w:numId w:val="34"/>
        </w:numPr>
        <w:spacing w:before="0" w:beforeAutospacing="off" w:after="0" w:afterAutospacing="off" w:line="276" w:lineRule="auto"/>
        <w:ind w:left="1080" w:right="0" w:hanging="360"/>
        <w:jc w:val="both"/>
        <w:rPr>
          <w:rFonts w:ascii="Times New Roman" w:hAnsi="Times New Roman" w:eastAsia="Times New Roman" w:cs="Times New Roman"/>
          <w:noProof w:val="0"/>
          <w:sz w:val="22"/>
          <w:szCs w:val="22"/>
          <w:lang w:val="de"/>
        </w:rPr>
      </w:pPr>
      <w:r w:rsidRPr="3676AEA2" w:rsidR="56CE475E">
        <w:rPr>
          <w:rFonts w:ascii="Times New Roman" w:hAnsi="Times New Roman" w:eastAsia="Times New Roman" w:cs="Times New Roman"/>
          <w:noProof w:val="0"/>
          <w:sz w:val="22"/>
          <w:szCs w:val="22"/>
          <w:lang w:val="de"/>
        </w:rPr>
        <w:t>„Datenverstoß“ bezeichnet eine versehentliche oder unbefugte Zerstörung, Verlust, Veränderung, Nutzung, Übertragung oder Offenlegung von oder Zugang zu Unternehmensinformationen.</w:t>
      </w:r>
    </w:p>
    <w:p w:rsidR="56CE475E" w:rsidP="3676AEA2" w:rsidRDefault="56CE475E" w14:paraId="494AA7B2" w14:textId="16F643B6">
      <w:pPr>
        <w:pStyle w:val="ListParagraph"/>
        <w:numPr>
          <w:ilvl w:val="1"/>
          <w:numId w:val="34"/>
        </w:numPr>
        <w:spacing w:before="0" w:beforeAutospacing="off" w:after="0" w:afterAutospacing="off" w:line="276" w:lineRule="auto"/>
        <w:ind w:left="1080" w:right="0" w:hanging="360"/>
        <w:jc w:val="both"/>
        <w:rPr>
          <w:rFonts w:ascii="Times New Roman" w:hAnsi="Times New Roman" w:eastAsia="Times New Roman" w:cs="Times New Roman"/>
          <w:noProof w:val="0"/>
          <w:sz w:val="22"/>
          <w:szCs w:val="22"/>
          <w:lang w:val="de"/>
        </w:rPr>
      </w:pPr>
      <w:r w:rsidRPr="3676AEA2" w:rsidR="56CE475E">
        <w:rPr>
          <w:rFonts w:ascii="Times New Roman" w:hAnsi="Times New Roman" w:eastAsia="Times New Roman" w:cs="Times New Roman"/>
          <w:noProof w:val="0"/>
          <w:sz w:val="22"/>
          <w:szCs w:val="22"/>
          <w:lang w:val="de"/>
        </w:rPr>
        <w:t>„Endpunkt“ bezeichnet jeden Computer, einschließlich Laptop oder Desktop, mobiles Gerät, Laborequipment, Server oder anderes Gerät auf den Lieferantensystemen, einschließlich solcher, die auf einer externen Drittanbieterseite gehostet werden (z.B. Cloud-Anbieter).</w:t>
      </w:r>
    </w:p>
    <w:p w:rsidR="56CE475E" w:rsidP="3676AEA2" w:rsidRDefault="56CE475E" w14:paraId="3264F1D8" w14:textId="6E48F392">
      <w:pPr>
        <w:pStyle w:val="ListParagraph"/>
        <w:numPr>
          <w:ilvl w:val="1"/>
          <w:numId w:val="34"/>
        </w:numPr>
        <w:spacing w:before="0" w:beforeAutospacing="off" w:after="0" w:afterAutospacing="off" w:line="276" w:lineRule="auto"/>
        <w:ind w:left="1080" w:right="0" w:hanging="360"/>
        <w:jc w:val="both"/>
        <w:rPr>
          <w:rFonts w:ascii="Times New Roman" w:hAnsi="Times New Roman" w:eastAsia="Times New Roman" w:cs="Times New Roman"/>
          <w:noProof w:val="0"/>
          <w:sz w:val="22"/>
          <w:szCs w:val="22"/>
          <w:lang w:val="de-DE"/>
        </w:rPr>
      </w:pPr>
      <w:r w:rsidRPr="3676AEA2" w:rsidR="56CE475E">
        <w:rPr>
          <w:rFonts w:ascii="Times New Roman" w:hAnsi="Times New Roman" w:eastAsia="Times New Roman" w:cs="Times New Roman"/>
          <w:noProof w:val="0"/>
          <w:sz w:val="22"/>
          <w:szCs w:val="22"/>
          <w:lang w:val="de-DE"/>
        </w:rPr>
        <w:t xml:space="preserve">„Benachrichtigungsereignis“ bezeichnet jedes Ereignis, einschließlich eines Datenverstoßes, </w:t>
      </w:r>
      <w:r w:rsidRPr="3676AEA2" w:rsidR="56CE475E">
        <w:rPr>
          <w:rFonts w:ascii="Times New Roman" w:hAnsi="Times New Roman" w:eastAsia="Times New Roman" w:cs="Times New Roman"/>
          <w:noProof w:val="0"/>
          <w:sz w:val="22"/>
          <w:szCs w:val="22"/>
          <w:lang w:val="de-DE"/>
        </w:rPr>
        <w:t>das</w:t>
      </w:r>
      <w:r w:rsidRPr="3676AEA2" w:rsidR="56CE475E">
        <w:rPr>
          <w:rFonts w:ascii="Times New Roman" w:hAnsi="Times New Roman" w:eastAsia="Times New Roman" w:cs="Times New Roman"/>
          <w:noProof w:val="0"/>
          <w:sz w:val="22"/>
          <w:szCs w:val="22"/>
          <w:lang w:val="de-DE"/>
        </w:rPr>
        <w:t xml:space="preserve"> die Benachrichtigung von Personen oder Einheiten nach geltendem Recht erfordert. </w:t>
      </w:r>
    </w:p>
    <w:p w:rsidR="56CE475E" w:rsidP="3676AEA2" w:rsidRDefault="56CE475E" w14:paraId="168D8466" w14:textId="40B356FF">
      <w:pPr>
        <w:pStyle w:val="ListParagraph"/>
        <w:numPr>
          <w:ilvl w:val="1"/>
          <w:numId w:val="34"/>
        </w:numPr>
        <w:spacing w:before="0" w:beforeAutospacing="off" w:after="0" w:afterAutospacing="off" w:line="276" w:lineRule="auto"/>
        <w:ind w:left="1080" w:right="0" w:hanging="360"/>
        <w:jc w:val="both"/>
        <w:rPr>
          <w:rFonts w:ascii="Times New Roman" w:hAnsi="Times New Roman" w:eastAsia="Times New Roman" w:cs="Times New Roman"/>
          <w:noProof w:val="0"/>
          <w:sz w:val="22"/>
          <w:szCs w:val="22"/>
          <w:lang w:val="de"/>
        </w:rPr>
      </w:pPr>
      <w:r w:rsidRPr="3676AEA2" w:rsidR="56CE475E">
        <w:rPr>
          <w:rFonts w:ascii="Times New Roman" w:hAnsi="Times New Roman" w:eastAsia="Times New Roman" w:cs="Times New Roman"/>
          <w:noProof w:val="0"/>
          <w:sz w:val="22"/>
          <w:szCs w:val="22"/>
          <w:lang w:val="de"/>
        </w:rPr>
        <w:t>„Sicherheitsereignis“ bezeichnet jeden A) Datenverstoß, (B) Benachrichtigungsereignis, (C) unbefugten Zugriff auf oder Störung der Betriebsabläufe der Lieferantensysteme oder (D) Verstoß gegen die Sicherheitsverpflichtungen des Lieferanten gemäß dieser Anlage, dem Vertrag oder geltendem Recht.</w:t>
      </w:r>
    </w:p>
    <w:p w:rsidR="56CE475E" w:rsidP="3676AEA2" w:rsidRDefault="56CE475E" w14:paraId="1177D16E" w14:textId="21BECBB0">
      <w:pPr>
        <w:pStyle w:val="ListParagraph"/>
        <w:numPr>
          <w:ilvl w:val="1"/>
          <w:numId w:val="34"/>
        </w:numPr>
        <w:spacing w:before="0" w:beforeAutospacing="off" w:after="0" w:afterAutospacing="off" w:line="276" w:lineRule="auto"/>
        <w:ind w:left="1080" w:right="0" w:hanging="360"/>
        <w:jc w:val="both"/>
        <w:rPr>
          <w:rFonts w:ascii="Times New Roman" w:hAnsi="Times New Roman" w:eastAsia="Times New Roman" w:cs="Times New Roman"/>
          <w:noProof w:val="0"/>
          <w:sz w:val="22"/>
          <w:szCs w:val="22"/>
          <w:lang w:val="de"/>
        </w:rPr>
      </w:pPr>
      <w:r w:rsidRPr="3676AEA2" w:rsidR="56CE475E">
        <w:rPr>
          <w:rFonts w:ascii="Times New Roman" w:hAnsi="Times New Roman" w:eastAsia="Times New Roman" w:cs="Times New Roman"/>
          <w:noProof w:val="0"/>
          <w:sz w:val="22"/>
          <w:szCs w:val="22"/>
          <w:lang w:val="de"/>
        </w:rPr>
        <w:t xml:space="preserve">„Betreffende Software“ bezeichnet jede Software, die im Zusammenhang mit den Dienstleistungen bereitgestellt oder verwendet wird, einschließlich jeder Software, die auf einem Computer, einschließlich Laptop oder Desktop, mobilem Gerät, Laborequipment, Server, anderem Gerät oder anderer Komponente der Informationssysteme des Unternehmens oder eines seiner verbundenen Unternehmen geliefert oder installiert wird. </w:t>
      </w:r>
    </w:p>
    <w:p w:rsidR="56CE475E" w:rsidP="3676AEA2" w:rsidRDefault="56CE475E" w14:paraId="394D5063" w14:textId="37B26285">
      <w:pPr>
        <w:pStyle w:val="ListParagraph"/>
        <w:numPr>
          <w:ilvl w:val="1"/>
          <w:numId w:val="34"/>
        </w:numPr>
        <w:spacing w:before="0" w:beforeAutospacing="off" w:after="0" w:afterAutospacing="off" w:line="276" w:lineRule="auto"/>
        <w:ind w:left="1080" w:right="0" w:hanging="360"/>
        <w:jc w:val="both"/>
        <w:rPr>
          <w:rFonts w:ascii="Times New Roman" w:hAnsi="Times New Roman" w:eastAsia="Times New Roman" w:cs="Times New Roman"/>
          <w:noProof w:val="0"/>
          <w:sz w:val="22"/>
          <w:szCs w:val="22"/>
          <w:lang w:val="de"/>
        </w:rPr>
      </w:pPr>
      <w:r w:rsidRPr="3676AEA2" w:rsidR="56CE475E">
        <w:rPr>
          <w:rFonts w:ascii="Times New Roman" w:hAnsi="Times New Roman" w:eastAsia="Times New Roman" w:cs="Times New Roman"/>
          <w:noProof w:val="0"/>
          <w:sz w:val="22"/>
          <w:szCs w:val="22"/>
          <w:lang w:val="de"/>
        </w:rPr>
        <w:t xml:space="preserve">„Lieferantensysteme“ bezeichnet die Netzwerke des Lieferanten und alle Systeme, einschließlich der betreffenden Software, (A) die im Zusammenhang mit den Dienstleistungen bereitgestellt oder verwendet werden, (B) auf denen Unternehmensinformationen oder Lieferungen oder laufende Arbeiten für das Unternehmen oder seine verbundenen Unternehmen gespeichert oder anderweitig verarbeitet werden oder von denen aus sie zugänglich sind, (C) die mit den Informationen, Netzwerken oder anderen Systemen des Unternehmens oder seiner verbundenen Unternehmen verbunden sind oder von denen aus diese zugänglich sind, oder (D) mit denen die vorstehenden Punkte verbunden sind oder von denen aus sie zugänglich sind. </w:t>
      </w:r>
    </w:p>
    <w:p w:rsidR="56CE475E" w:rsidP="3676AEA2" w:rsidRDefault="56CE475E" w14:paraId="28396EB1" w14:textId="627FC35E">
      <w:pPr>
        <w:pStyle w:val="ListParagraph"/>
        <w:numPr>
          <w:ilvl w:val="0"/>
          <w:numId w:val="34"/>
        </w:numPr>
        <w:spacing w:before="0" w:beforeAutospacing="off" w:after="0" w:afterAutospacing="off" w:line="276" w:lineRule="auto"/>
        <w:ind w:left="720" w:right="0" w:hanging="360"/>
        <w:jc w:val="both"/>
        <w:rPr>
          <w:rFonts w:ascii="Times New Roman" w:hAnsi="Times New Roman" w:eastAsia="Times New Roman" w:cs="Times New Roman"/>
          <w:noProof w:val="0"/>
          <w:sz w:val="22"/>
          <w:szCs w:val="22"/>
          <w:lang w:val="de-DE"/>
        </w:rPr>
      </w:pPr>
      <w:r w:rsidRPr="3676AEA2" w:rsidR="56CE475E">
        <w:rPr>
          <w:rFonts w:ascii="Times New Roman" w:hAnsi="Times New Roman" w:eastAsia="Times New Roman" w:cs="Times New Roman"/>
          <w:noProof w:val="0"/>
          <w:sz w:val="22"/>
          <w:szCs w:val="22"/>
          <w:lang w:val="de-DE"/>
        </w:rPr>
        <w:t>Netzwerksicherheit - Der Lieferant muss Netzwerksicherheitsrichtlinien, -verfahren und -kontrollen aufrechterhalten und Netzwerksicherheitsaktivitäten durchführen, die den Best Practices in der Branche des Lieferanten entsprechen, mindestens jedoch die Bereitstellung von Netzwerk-Firewalls, Kontrollen zur Erkennung und Verhinderung von Eindringlingen, Kontrollen zum Schutz vor Distributed-</w:t>
      </w:r>
      <w:r w:rsidRPr="3676AEA2" w:rsidR="56CE475E">
        <w:rPr>
          <w:rFonts w:ascii="Times New Roman" w:hAnsi="Times New Roman" w:eastAsia="Times New Roman" w:cs="Times New Roman"/>
          <w:noProof w:val="0"/>
          <w:sz w:val="22"/>
          <w:szCs w:val="22"/>
          <w:lang w:val="de-DE"/>
        </w:rPr>
        <w:t>Denial</w:t>
      </w:r>
      <w:r w:rsidRPr="3676AEA2" w:rsidR="56CE475E">
        <w:rPr>
          <w:rFonts w:ascii="Times New Roman" w:hAnsi="Times New Roman" w:eastAsia="Times New Roman" w:cs="Times New Roman"/>
          <w:noProof w:val="0"/>
          <w:sz w:val="22"/>
          <w:szCs w:val="22"/>
          <w:lang w:val="de-DE"/>
        </w:rPr>
        <w:t>-</w:t>
      </w:r>
      <w:r w:rsidRPr="3676AEA2" w:rsidR="56CE475E">
        <w:rPr>
          <w:rFonts w:ascii="Times New Roman" w:hAnsi="Times New Roman" w:eastAsia="Times New Roman" w:cs="Times New Roman"/>
          <w:noProof w:val="0"/>
          <w:sz w:val="22"/>
          <w:szCs w:val="22"/>
          <w:lang w:val="de-DE"/>
        </w:rPr>
        <w:t>of</w:t>
      </w:r>
      <w:r w:rsidRPr="3676AEA2" w:rsidR="56CE475E">
        <w:rPr>
          <w:rFonts w:ascii="Times New Roman" w:hAnsi="Times New Roman" w:eastAsia="Times New Roman" w:cs="Times New Roman"/>
          <w:noProof w:val="0"/>
          <w:sz w:val="22"/>
          <w:szCs w:val="22"/>
          <w:lang w:val="de-DE"/>
        </w:rPr>
        <w:t>-Service-Angriffen (DDoS) und regelmäßig durchgeführte Schwachstellenbewertungen und Penetrationstests umfassen, in Übereinstimmung mit den Best Practices in der Branche des Lieferanten (aber nicht weniger häufig als jährlich). In keinem Fall dürfen die Netzwerksicherheitsrichtlinien, -verfahren oder -kontrollen des Lieferanten, die zum Schutz von Unternehmensinformationen und Lieferantensystemen angewendet werden, weniger streng und schützend sein als die vom Lieferanten zum Schutz seiner eigenen Informationen und seiner anderen Systeme ähnlicher Art angewendeten.</w:t>
      </w:r>
    </w:p>
    <w:p w:rsidR="56CE475E" w:rsidP="3676AEA2" w:rsidRDefault="56CE475E" w14:paraId="33E3E8F5" w14:textId="69745CCC">
      <w:pPr>
        <w:pStyle w:val="ListParagraph"/>
        <w:numPr>
          <w:ilvl w:val="0"/>
          <w:numId w:val="34"/>
        </w:numPr>
        <w:spacing w:before="0" w:beforeAutospacing="off" w:after="0" w:afterAutospacing="off" w:line="276" w:lineRule="auto"/>
        <w:ind w:left="720" w:right="0" w:hanging="360"/>
        <w:jc w:val="both"/>
        <w:rPr>
          <w:rFonts w:ascii="Times New Roman" w:hAnsi="Times New Roman" w:eastAsia="Times New Roman" w:cs="Times New Roman"/>
          <w:noProof w:val="0"/>
          <w:sz w:val="22"/>
          <w:szCs w:val="22"/>
          <w:lang w:val="de"/>
        </w:rPr>
      </w:pPr>
      <w:r w:rsidRPr="3676AEA2" w:rsidR="56CE475E">
        <w:rPr>
          <w:rFonts w:ascii="Times New Roman" w:hAnsi="Times New Roman" w:eastAsia="Times New Roman" w:cs="Times New Roman"/>
          <w:noProof w:val="0"/>
          <w:sz w:val="22"/>
          <w:szCs w:val="22"/>
          <w:lang w:val="de"/>
        </w:rPr>
        <w:t>Anwendungssicherheit - Je nach Art der erbrachten Dienstleistungen muss der Lieferant, falls zutreffend, Softwareentwicklungslebenszyklusprozesse und -kontrollen ("SDLC-Prozess") haben, die die Entwicklung von und Änderungen an jeglicher Lieferantensoftware regeln, einschließlich Updates, Upgrades, Patches, Verbesserungen, Fehlerbehebungen, Modifikationen, Verbesserungen, Korrekturen, Revisionen, Releases und andere Änderungen. Der SDLC-Prozess muss mindestens anerkannte und vergleichbare Industriestandards für sichere Softwareentwicklungspraktiken enthalten. Der Lieferant muss einen Patch-Management-Prozess befolgen, der sicherstellt, dass die Informationssysteme des Lieferanten mit angemessener Sicherheit und Funktionalität auf dem neuesten Stand sind. Der Lieferant muss zeitnah, entsprechend dem Risiko und innerhalb der in den Richtlinien und Verfahren des Lieferanten vorgesehenen Fristen, jede identifizierte Schwachstelle beheben und erneut testen.</w:t>
      </w:r>
    </w:p>
    <w:p w:rsidR="56CE475E" w:rsidP="3676AEA2" w:rsidRDefault="56CE475E" w14:paraId="625A8ABA" w14:textId="6B33EB33">
      <w:pPr>
        <w:pStyle w:val="ListParagraph"/>
        <w:numPr>
          <w:ilvl w:val="0"/>
          <w:numId w:val="34"/>
        </w:numPr>
        <w:spacing w:before="0" w:beforeAutospacing="off" w:after="0" w:afterAutospacing="off" w:line="276" w:lineRule="auto"/>
        <w:ind w:left="720" w:right="0" w:hanging="360"/>
        <w:jc w:val="both"/>
        <w:rPr>
          <w:rFonts w:ascii="Times New Roman" w:hAnsi="Times New Roman" w:eastAsia="Times New Roman" w:cs="Times New Roman"/>
          <w:noProof w:val="0"/>
          <w:sz w:val="22"/>
          <w:szCs w:val="22"/>
          <w:lang w:val="de-DE"/>
        </w:rPr>
      </w:pPr>
      <w:r w:rsidRPr="3676AEA2" w:rsidR="56CE475E">
        <w:rPr>
          <w:rFonts w:ascii="Times New Roman" w:hAnsi="Times New Roman" w:eastAsia="Times New Roman" w:cs="Times New Roman"/>
          <w:noProof w:val="0"/>
          <w:sz w:val="22"/>
          <w:szCs w:val="22"/>
          <w:lang w:val="de-DE"/>
        </w:rPr>
        <w:t xml:space="preserve">Datensicherheit - Je nach Art der erbrachten Dienstleistungen muss der Lieferant, falls zutreffend, Unternehmensinformationen gemäß anerkannten und vergleichbaren Branchenpraktiken und -standards, wie sie beispielsweise in Absatz 11 (einschließlich PCI DSS, falls zutreffend) und in Übereinstimmung mit allen Gesetzen, behandeln, speichern und sonst verarbeiten. Der Lieferant muss angemessene Schutzmaßnahmen gegen einen Datenverstoß einrichten und aufrechterhalten. Zusätzlich zu und ohne Einschränkung anderer Verpflichtungen des Lieferanten muss der Lieferant alle Unternehmensinformationen gemäß den besten Praktiken in der Branche des Lieferanten und in Übereinstellung mit allen Gesetzen speichern und Sicherheitsmaßnahmen verwenden, die den besten Praktiken in der Branche des Lieferanten entsprechen, einschließlich Verschlüsselung und Firewalls, um Unternehmensinformationen vor einem Datenverstoß zu schützen. Wenn der Lieferant Unternehmensinformationen in einer externen Einrichtung speichert, muss der Lieferant alle Bedingungen in der Vereinbarung oder in einer im Zusammenhang mit der Vereinbarung abgeschlossenen Vereinbarung erfüllt haben, die sich auf die Offenlegung von Unternehmensinformationen gegenüber Dritten oder das Einbeziehen von Dritten zur Bereitstellung oder Unterstützung von Produkten oder Dienstleistungen beziehen, und der Lieferant muss eine externe Speichereinrichtung verwenden, die für das Unternehmen akzeptabel ist und die, ohne die vorstehenden Bestimmungen einzuschränken, vollständig alle Bestimmungen dieses Anhangs einhält. Darüber hinaus muss der Anbieter einer solchen externen Speichereinrichtung durch eine schriftliche Vertraulichkeitsvereinbarung zwischen dem Lieferanten und dem Anbieter gebunden sein, die Bedingungen enthält, die nicht weniger streng </w:t>
      </w:r>
      <w:r w:rsidRPr="3676AEA2" w:rsidR="56CE475E">
        <w:rPr>
          <w:rFonts w:ascii="Times New Roman" w:hAnsi="Times New Roman" w:eastAsia="Times New Roman" w:cs="Times New Roman"/>
          <w:noProof w:val="0"/>
          <w:sz w:val="22"/>
          <w:szCs w:val="22"/>
          <w:lang w:val="de-DE"/>
        </w:rPr>
        <w:t>sind</w:t>
      </w:r>
      <w:r w:rsidRPr="3676AEA2" w:rsidR="56CE475E">
        <w:rPr>
          <w:rFonts w:ascii="Times New Roman" w:hAnsi="Times New Roman" w:eastAsia="Times New Roman" w:cs="Times New Roman"/>
          <w:noProof w:val="0"/>
          <w:sz w:val="22"/>
          <w:szCs w:val="22"/>
          <w:lang w:val="de-DE"/>
        </w:rPr>
        <w:t xml:space="preserve"> als die in der Vereinbarung oder einer im Zusammenhang mit der Vereinbarung abgeschlossenen Vereinbarung und die alle darin gespeicherten Unternehmensinformationen schützt.</w:t>
      </w:r>
    </w:p>
    <w:p w:rsidR="56CE475E" w:rsidP="3676AEA2" w:rsidRDefault="56CE475E" w14:paraId="6C946C9C" w14:textId="4B36AEB5">
      <w:pPr>
        <w:pStyle w:val="ListParagraph"/>
        <w:numPr>
          <w:ilvl w:val="0"/>
          <w:numId w:val="34"/>
        </w:numPr>
        <w:spacing w:before="0" w:beforeAutospacing="off" w:after="0" w:afterAutospacing="off" w:line="276" w:lineRule="auto"/>
        <w:ind w:left="720" w:right="0" w:hanging="360"/>
        <w:jc w:val="both"/>
        <w:rPr>
          <w:rFonts w:ascii="Times New Roman" w:hAnsi="Times New Roman" w:eastAsia="Times New Roman" w:cs="Times New Roman"/>
          <w:noProof w:val="0"/>
          <w:sz w:val="22"/>
          <w:szCs w:val="22"/>
          <w:lang w:val="de"/>
        </w:rPr>
      </w:pPr>
      <w:r w:rsidRPr="3676AEA2" w:rsidR="56CE475E">
        <w:rPr>
          <w:rFonts w:ascii="Times New Roman" w:hAnsi="Times New Roman" w:eastAsia="Times New Roman" w:cs="Times New Roman"/>
          <w:noProof w:val="0"/>
          <w:sz w:val="22"/>
          <w:szCs w:val="22"/>
          <w:lang w:val="de"/>
        </w:rPr>
        <w:t>Datenspeicherung - Je nach Art der erbrachten Dienstleistungen werden alle Unternehmensinformationen, falls zutreffend, ausschließlich auf den dafür vorgesehenen Rechen- und Speicherressourcen des Lieferanten behandelt, gespeichert und sonst verarbeitet. Unternehmensinformationen werden nur dann auf einem Laptop oder Mobilgerät behandelt, gespeichert oder sonst verarbeitet oder darauf übertragen, wenn (A) es sich um einen Laptop oder ein Mobilgerät des Lieferanten handelt, (B) der Lieferant alle Unternehmensinformationen auf diesem Laptop oder Mobilgerät gemäß den Verschlüsselungsstandards in Absatz 7 unten verschlüsselt und (C) dieser Laptop oder dieses Mobilgerät Endpunkt-Kontrollen unterliegt, die mit anerkannten und vergleichbaren Branchenpraktiken und -standards übereinstimmen, wie sie beispielsweise in Absatz 11 festgelegt sind. Unternehmensinformationen werden nicht auf einem tragbaren Gerät behandelt, gespeichert oder sonst verarbeitet, außer wie im vorhergehenden Satz vorgesehen. Der Lieferant muss alle Backups von Unternehmensinformationen als Teil seiner dafür vorgesehenen Backup- und Wiederherstellungsprozesse speichern, und solche Backups von Unternehmensinformationen müssen gemäß diesem Anhang verschlüsselt werden, einschließlich der Anforderungen dieses Absatzes 5 und Absatz 7 unten.</w:t>
      </w:r>
    </w:p>
    <w:p w:rsidR="56CE475E" w:rsidP="3676AEA2" w:rsidRDefault="56CE475E" w14:paraId="159ED57C" w14:textId="3394423B">
      <w:pPr>
        <w:pStyle w:val="ListParagraph"/>
        <w:numPr>
          <w:ilvl w:val="0"/>
          <w:numId w:val="34"/>
        </w:numPr>
        <w:spacing w:before="0" w:beforeAutospacing="off" w:after="0" w:afterAutospacing="off" w:line="276" w:lineRule="auto"/>
        <w:ind w:left="720" w:right="0" w:hanging="360"/>
        <w:jc w:val="both"/>
        <w:rPr>
          <w:rFonts w:ascii="Times New Roman" w:hAnsi="Times New Roman" w:eastAsia="Times New Roman" w:cs="Times New Roman"/>
          <w:noProof w:val="0"/>
          <w:sz w:val="22"/>
          <w:szCs w:val="22"/>
          <w:lang w:val="de"/>
        </w:rPr>
      </w:pPr>
      <w:r w:rsidRPr="3676AEA2" w:rsidR="56CE475E">
        <w:rPr>
          <w:rFonts w:ascii="Times New Roman" w:hAnsi="Times New Roman" w:eastAsia="Times New Roman" w:cs="Times New Roman"/>
          <w:noProof w:val="0"/>
          <w:sz w:val="22"/>
          <w:szCs w:val="22"/>
          <w:lang w:val="de"/>
        </w:rPr>
        <w:t>Datenübertragung - Je nach Art der erbrachten Dienstleistungen, falls zutreffend, erfolgt jede elektronische Übertragung oder der Austausch von Unternehmensinformationen über sichere Mittel (unter Verwendung von HTTPS oder SFTP oder Äquivalent), die mit anerkannten und vergleichbaren Branchenpraktiken und -standards übereinstimmen, wie sie in Absatz 11 festgelegt sind, und ausschließlich gemäß Absatz 7 unten.</w:t>
      </w:r>
    </w:p>
    <w:p w:rsidR="56CE475E" w:rsidP="3676AEA2" w:rsidRDefault="56CE475E" w14:paraId="1CD2A714" w14:textId="63717AEB">
      <w:pPr>
        <w:pStyle w:val="ListParagraph"/>
        <w:numPr>
          <w:ilvl w:val="0"/>
          <w:numId w:val="34"/>
        </w:numPr>
        <w:spacing w:before="0" w:beforeAutospacing="off" w:after="0" w:afterAutospacing="off" w:line="276" w:lineRule="auto"/>
        <w:ind w:left="720" w:right="0" w:hanging="360"/>
        <w:jc w:val="both"/>
        <w:rPr>
          <w:rFonts w:ascii="Times New Roman" w:hAnsi="Times New Roman" w:eastAsia="Times New Roman" w:cs="Times New Roman"/>
          <w:noProof w:val="0"/>
          <w:sz w:val="22"/>
          <w:szCs w:val="22"/>
          <w:lang w:val="de-DE"/>
        </w:rPr>
      </w:pPr>
      <w:r w:rsidRPr="3676AEA2" w:rsidR="56CE475E">
        <w:rPr>
          <w:rFonts w:ascii="Times New Roman" w:hAnsi="Times New Roman" w:eastAsia="Times New Roman" w:cs="Times New Roman"/>
          <w:noProof w:val="0"/>
          <w:sz w:val="22"/>
          <w:szCs w:val="22"/>
          <w:lang w:val="de-DE"/>
        </w:rPr>
        <w:t xml:space="preserve">Datenverschlüsselung - Je nach Art der erbrachten Dienstleistungen, falls zutreffend, zusätzlich zu und ohne Einschränkung anderer Verpflichtungen des Lieferanten, stimmt der Lieferant zu, dass alle Unternehmensinformationen, die aus personenbezogenen Daten bestehen, die gemäß einem Gesetz geschützt sind, oder aus Informationen, die gemäß dem aktuellen Payment Card Industry Data </w:t>
      </w:r>
      <w:r w:rsidRPr="3676AEA2" w:rsidR="56CE475E">
        <w:rPr>
          <w:rFonts w:ascii="Times New Roman" w:hAnsi="Times New Roman" w:eastAsia="Times New Roman" w:cs="Times New Roman"/>
          <w:noProof w:val="0"/>
          <w:sz w:val="22"/>
          <w:szCs w:val="22"/>
          <w:lang w:val="de-DE"/>
        </w:rPr>
        <w:t>Protection</w:t>
      </w:r>
      <w:r w:rsidRPr="3676AEA2" w:rsidR="56CE475E">
        <w:rPr>
          <w:rFonts w:ascii="Times New Roman" w:hAnsi="Times New Roman" w:eastAsia="Times New Roman" w:cs="Times New Roman"/>
          <w:noProof w:val="0"/>
          <w:sz w:val="22"/>
          <w:szCs w:val="22"/>
          <w:lang w:val="de-DE"/>
        </w:rPr>
        <w:t xml:space="preserve"> Standard geschützt sind, einschließlich aller Sicherungsdaten des Unternehmens, in verschlüsselter Form aufbewahrt werden, unter Verwendung einer kommerziell unterstützten Verschlüsselungslösung. Der Lieferant stimmt zu, dass Verschlüsselungslösungen eingesetzt werden, die Unternehmensinformationen in Übereinstimmung mit anerkannten und vergleichbaren Branchenpraktiken und -standards verschlüsseln, wie sie in Absatz 11 festgelegt sind, jedoch mit mindestens einem 128-Bit-Schlüssel für symmetrische Verschlüsselung und einer 2048 (oder größer) Bit Schlüssellänge für asymmetrische Verschlüsselung.</w:t>
      </w:r>
    </w:p>
    <w:p w:rsidR="56CE475E" w:rsidP="3676AEA2" w:rsidRDefault="56CE475E" w14:paraId="5B880F67" w14:textId="5B661589">
      <w:pPr>
        <w:pStyle w:val="ListParagraph"/>
        <w:numPr>
          <w:ilvl w:val="0"/>
          <w:numId w:val="34"/>
        </w:numPr>
        <w:spacing w:before="0" w:beforeAutospacing="off" w:after="0" w:afterAutospacing="off" w:line="276" w:lineRule="auto"/>
        <w:ind w:left="720" w:right="0" w:hanging="360"/>
        <w:jc w:val="both"/>
        <w:rPr>
          <w:rFonts w:ascii="Times New Roman" w:hAnsi="Times New Roman" w:eastAsia="Times New Roman" w:cs="Times New Roman"/>
          <w:noProof w:val="0"/>
          <w:sz w:val="22"/>
          <w:szCs w:val="22"/>
          <w:lang w:val="de"/>
        </w:rPr>
      </w:pPr>
      <w:r w:rsidRPr="3676AEA2" w:rsidR="56CE475E">
        <w:rPr>
          <w:rFonts w:ascii="Times New Roman" w:hAnsi="Times New Roman" w:eastAsia="Times New Roman" w:cs="Times New Roman"/>
          <w:noProof w:val="0"/>
          <w:sz w:val="22"/>
          <w:szCs w:val="22"/>
          <w:lang w:val="de"/>
        </w:rPr>
        <w:t>Daten-Wiederverwendung - Je nach Art der erbrachten Dienstleistungen, falls zutreffend, wird der Lieferant alle Unternehmensinformationen ausschließlich zum Zwecke der Erbringung der Dienstleistungen verwenden. Der Lieferant darf keine Unternehmensinformationen verteilen, umwidmen oder über andere Anwendungen, Umgebungen oder Geschäftseinheiten des Lieferanten teilen.</w:t>
      </w:r>
    </w:p>
    <w:p w:rsidR="56CE475E" w:rsidP="3676AEA2" w:rsidRDefault="56CE475E" w14:paraId="252EE24A" w14:textId="4F7D3E82">
      <w:pPr>
        <w:pStyle w:val="ListParagraph"/>
        <w:numPr>
          <w:ilvl w:val="0"/>
          <w:numId w:val="34"/>
        </w:numPr>
        <w:spacing w:before="0" w:beforeAutospacing="off" w:after="0" w:afterAutospacing="off" w:line="276" w:lineRule="auto"/>
        <w:ind w:left="720" w:right="0" w:hanging="360"/>
        <w:jc w:val="both"/>
        <w:rPr>
          <w:rFonts w:ascii="Times New Roman" w:hAnsi="Times New Roman" w:eastAsia="Times New Roman" w:cs="Times New Roman"/>
          <w:noProof w:val="0"/>
          <w:sz w:val="22"/>
          <w:szCs w:val="22"/>
          <w:lang w:val="de"/>
        </w:rPr>
      </w:pPr>
      <w:r w:rsidRPr="3676AEA2" w:rsidR="56CE475E">
        <w:rPr>
          <w:rFonts w:ascii="Times New Roman" w:hAnsi="Times New Roman" w:eastAsia="Times New Roman" w:cs="Times New Roman"/>
          <w:noProof w:val="0"/>
          <w:sz w:val="22"/>
          <w:szCs w:val="22"/>
          <w:lang w:val="de"/>
        </w:rPr>
        <w:t>Ende der Vereinbarung Datenhandhabung - Je nach Art der erbrachten Dienstleistungen, falls zutreffend, zusätzlich zu und ohne Einschränkung anderer Verpflichtungen des Lieferanten, wird auf Anfrage des Unternehmens und sofern im Vertrag nicht anders vorgesehen, bei Ablauf oder vorzeitiger Beendigung des Vertrags alle Unternehmensinformationen, die sich im Besitz oder unter der Kontrolle des Lieferanten oder eines seiner verbundenen Unternehmen, Subunternehmer, Dienstleister, Agenten oder sonstigen Berater befinden, zerstört oder zurückgegeben, je nach Wahl des Unternehmens.</w:t>
      </w:r>
    </w:p>
    <w:p w:rsidR="56CE475E" w:rsidP="3676AEA2" w:rsidRDefault="56CE475E" w14:paraId="5842B0B8" w14:textId="6467943D">
      <w:pPr>
        <w:pStyle w:val="ListParagraph"/>
        <w:numPr>
          <w:ilvl w:val="0"/>
          <w:numId w:val="34"/>
        </w:numPr>
        <w:spacing w:before="0" w:beforeAutospacing="off" w:after="0" w:afterAutospacing="off" w:line="276" w:lineRule="auto"/>
        <w:ind w:left="720" w:right="0" w:hanging="360"/>
        <w:jc w:val="both"/>
        <w:rPr>
          <w:rFonts w:ascii="Times New Roman" w:hAnsi="Times New Roman" w:eastAsia="Times New Roman" w:cs="Times New Roman"/>
          <w:noProof w:val="0"/>
          <w:sz w:val="22"/>
          <w:szCs w:val="22"/>
          <w:lang w:val="de-DE"/>
        </w:rPr>
      </w:pPr>
      <w:r w:rsidRPr="3676AEA2" w:rsidR="56CE475E">
        <w:rPr>
          <w:rFonts w:ascii="Times New Roman" w:hAnsi="Times New Roman" w:eastAsia="Times New Roman" w:cs="Times New Roman"/>
          <w:noProof w:val="0"/>
          <w:sz w:val="22"/>
          <w:szCs w:val="22"/>
          <w:lang w:val="de-DE"/>
        </w:rPr>
        <w:t xml:space="preserve">Sicherheitsverletzungsbenachrichtigung - Zusätzlich zu und ohne Einschränkung anderer Verpflichtungen des Lieferanten, wird der Lieferant das Unternehmen innerhalb von 24 Stunden nach Kenntnisnahme eines tatsächlichen oder vernünftigerweise vermuteten Sicherheitsereignisses darüber informieren. Der Lieferant wird das Unternehmen über ein solches tatsächliches oder vernünftigerweise vermutetes Sicherheitsereignis informieren, indem er das Sicherheitsteam des Unternehmens telefonisch (+1-704-345-6700 – Option 1 wählen) und per E-Mail Global </w:t>
      </w:r>
      <w:r w:rsidRPr="3676AEA2" w:rsidR="56CE475E">
        <w:rPr>
          <w:rFonts w:ascii="Times New Roman" w:hAnsi="Times New Roman" w:eastAsia="Times New Roman" w:cs="Times New Roman"/>
          <w:noProof w:val="0"/>
          <w:sz w:val="22"/>
          <w:szCs w:val="22"/>
          <w:lang w:val="de-DE"/>
        </w:rPr>
        <w:t>Operations</w:t>
      </w:r>
      <w:r w:rsidRPr="3676AEA2" w:rsidR="56CE475E">
        <w:rPr>
          <w:rFonts w:ascii="Times New Roman" w:hAnsi="Times New Roman" w:eastAsia="Times New Roman" w:cs="Times New Roman"/>
          <w:noProof w:val="0"/>
          <w:sz w:val="22"/>
          <w:szCs w:val="22"/>
          <w:lang w:val="de-DE"/>
        </w:rPr>
        <w:t xml:space="preserve"> Center </w:t>
      </w:r>
      <w:hyperlink r:id="R1af91fd04d5941eb">
        <w:r w:rsidRPr="3676AEA2" w:rsidR="56CE475E">
          <w:rPr>
            <w:rStyle w:val="Hyperlink"/>
            <w:rFonts w:ascii="Times New Roman" w:hAnsi="Times New Roman" w:eastAsia="Times New Roman" w:cs="Times New Roman"/>
            <w:strike w:val="0"/>
            <w:dstrike w:val="0"/>
            <w:noProof w:val="0"/>
            <w:color w:val="0563C1"/>
            <w:sz w:val="22"/>
            <w:szCs w:val="22"/>
            <w:u w:val="single"/>
            <w:lang w:val="de-DE"/>
          </w:rPr>
          <w:t>globalopscnt@merck.com</w:t>
        </w:r>
      </w:hyperlink>
      <w:r w:rsidRPr="3676AEA2" w:rsidR="56CE475E">
        <w:rPr>
          <w:rFonts w:ascii="Times New Roman" w:hAnsi="Times New Roman" w:eastAsia="Times New Roman" w:cs="Times New Roman"/>
          <w:noProof w:val="0"/>
          <w:sz w:val="22"/>
          <w:szCs w:val="22"/>
          <w:lang w:val="de-DE"/>
        </w:rPr>
        <w:t xml:space="preserve"> kontaktiert. Der Lieferant wird Informationen und Unterstützung bereitstellen, die das Unternehmen in Bezug auf ein Sicherheitsereignis vernünftigerweise anfordern kann, einschließlich Informationen über die Ursache.</w:t>
      </w:r>
    </w:p>
    <w:p w:rsidR="56CE475E" w:rsidP="3676AEA2" w:rsidRDefault="56CE475E" w14:paraId="39638520" w14:textId="71932E9D">
      <w:pPr>
        <w:pStyle w:val="ListParagraph"/>
        <w:numPr>
          <w:ilvl w:val="0"/>
          <w:numId w:val="34"/>
        </w:numPr>
        <w:spacing w:before="0" w:beforeAutospacing="off" w:after="0" w:afterAutospacing="off" w:line="276" w:lineRule="auto"/>
        <w:ind w:left="720" w:right="0" w:hanging="360"/>
        <w:jc w:val="both"/>
        <w:rPr>
          <w:rFonts w:ascii="Times New Roman" w:hAnsi="Times New Roman" w:eastAsia="Times New Roman" w:cs="Times New Roman"/>
          <w:noProof w:val="0"/>
          <w:sz w:val="22"/>
          <w:szCs w:val="22"/>
          <w:lang w:val="de"/>
        </w:rPr>
      </w:pPr>
      <w:r w:rsidRPr="3676AEA2" w:rsidR="56CE475E">
        <w:rPr>
          <w:rFonts w:ascii="Times New Roman" w:hAnsi="Times New Roman" w:eastAsia="Times New Roman" w:cs="Times New Roman"/>
          <w:noProof w:val="0"/>
          <w:sz w:val="22"/>
          <w:szCs w:val="22"/>
          <w:lang w:val="de"/>
        </w:rPr>
        <w:t>Branchenstandards - Allgemein anerkannte Branchenstandards umfassen, sind aber nicht beschränkt auf die aktuellen Standards und Benchmarks, die von den folgenden Stellen festgelegt und gepflegt werden:</w:t>
      </w:r>
    </w:p>
    <w:p w:rsidR="56CE475E" w:rsidP="3676AEA2" w:rsidRDefault="56CE475E" w14:paraId="70887997" w14:textId="318D4506">
      <w:pPr>
        <w:pStyle w:val="ListParagraph"/>
        <w:numPr>
          <w:ilvl w:val="1"/>
          <w:numId w:val="34"/>
        </w:numPr>
        <w:spacing w:before="0" w:beforeAutospacing="off" w:after="0" w:afterAutospacing="off" w:line="276" w:lineRule="auto"/>
        <w:ind w:left="1440" w:right="0" w:hanging="360"/>
        <w:jc w:val="both"/>
        <w:rPr>
          <w:rFonts w:ascii="Times New Roman" w:hAnsi="Times New Roman" w:eastAsia="Times New Roman" w:cs="Times New Roman"/>
          <w:strike w:val="0"/>
          <w:dstrike w:val="0"/>
          <w:noProof w:val="0"/>
          <w:color w:val="0563C1"/>
          <w:sz w:val="22"/>
          <w:szCs w:val="22"/>
          <w:u w:val="single"/>
          <w:lang w:val="de-DE"/>
        </w:rPr>
      </w:pPr>
      <w:r w:rsidRPr="3676AEA2" w:rsidR="56CE475E">
        <w:rPr>
          <w:rFonts w:ascii="Times New Roman" w:hAnsi="Times New Roman" w:eastAsia="Times New Roman" w:cs="Times New Roman"/>
          <w:noProof w:val="0"/>
          <w:sz w:val="22"/>
          <w:szCs w:val="22"/>
          <w:lang w:val="de-DE"/>
        </w:rPr>
        <w:t xml:space="preserve">Center </w:t>
      </w:r>
      <w:r w:rsidRPr="3676AEA2" w:rsidR="56CE475E">
        <w:rPr>
          <w:rFonts w:ascii="Times New Roman" w:hAnsi="Times New Roman" w:eastAsia="Times New Roman" w:cs="Times New Roman"/>
          <w:noProof w:val="0"/>
          <w:sz w:val="22"/>
          <w:szCs w:val="22"/>
          <w:lang w:val="de-DE"/>
        </w:rPr>
        <w:t>for</w:t>
      </w:r>
      <w:r w:rsidRPr="3676AEA2" w:rsidR="56CE475E">
        <w:rPr>
          <w:rFonts w:ascii="Times New Roman" w:hAnsi="Times New Roman" w:eastAsia="Times New Roman" w:cs="Times New Roman"/>
          <w:noProof w:val="0"/>
          <w:sz w:val="22"/>
          <w:szCs w:val="22"/>
          <w:lang w:val="de-DE"/>
        </w:rPr>
        <w:t xml:space="preserve"> Internet Security - siehe </w:t>
      </w:r>
      <w:hyperlink r:id="R6766755a668a45b8">
        <w:r w:rsidRPr="3676AEA2" w:rsidR="56CE475E">
          <w:rPr>
            <w:rStyle w:val="Hyperlink"/>
            <w:rFonts w:ascii="Times New Roman" w:hAnsi="Times New Roman" w:eastAsia="Times New Roman" w:cs="Times New Roman"/>
            <w:strike w:val="0"/>
            <w:dstrike w:val="0"/>
            <w:noProof w:val="0"/>
            <w:color w:val="0563C1"/>
            <w:sz w:val="22"/>
            <w:szCs w:val="22"/>
            <w:u w:val="single"/>
            <w:lang w:val="de-DE"/>
          </w:rPr>
          <w:t>http://www.cisecurity.org</w:t>
        </w:r>
      </w:hyperlink>
    </w:p>
    <w:p w:rsidR="56CE475E" w:rsidP="3676AEA2" w:rsidRDefault="56CE475E" w14:paraId="2B2EC252" w14:textId="1AA236C5">
      <w:pPr>
        <w:pStyle w:val="ListParagraph"/>
        <w:numPr>
          <w:ilvl w:val="1"/>
          <w:numId w:val="34"/>
        </w:numPr>
        <w:spacing w:before="0" w:beforeAutospacing="off" w:after="0" w:afterAutospacing="off" w:line="276" w:lineRule="auto"/>
        <w:ind w:left="1440" w:right="0" w:hanging="360"/>
        <w:jc w:val="both"/>
        <w:rPr>
          <w:rFonts w:ascii="Times New Roman" w:hAnsi="Times New Roman" w:eastAsia="Times New Roman" w:cs="Times New Roman"/>
          <w:strike w:val="0"/>
          <w:dstrike w:val="0"/>
          <w:noProof w:val="0"/>
          <w:color w:val="0563C1"/>
          <w:sz w:val="22"/>
          <w:szCs w:val="22"/>
          <w:u w:val="single"/>
          <w:lang w:val="de"/>
        </w:rPr>
      </w:pPr>
      <w:r w:rsidRPr="3676AEA2" w:rsidR="56CE475E">
        <w:rPr>
          <w:rFonts w:ascii="Times New Roman" w:hAnsi="Times New Roman" w:eastAsia="Times New Roman" w:cs="Times New Roman"/>
          <w:noProof w:val="0"/>
          <w:sz w:val="22"/>
          <w:szCs w:val="22"/>
          <w:lang w:val="de"/>
        </w:rPr>
        <w:t xml:space="preserve">Payment Card Industry / Data Security Standards (PCI/DSS) – siehe </w:t>
      </w:r>
      <w:hyperlink r:id="Rd04621c1e5b14cb8">
        <w:r w:rsidRPr="3676AEA2" w:rsidR="56CE475E">
          <w:rPr>
            <w:rStyle w:val="Hyperlink"/>
            <w:rFonts w:ascii="Times New Roman" w:hAnsi="Times New Roman" w:eastAsia="Times New Roman" w:cs="Times New Roman"/>
            <w:strike w:val="0"/>
            <w:dstrike w:val="0"/>
            <w:noProof w:val="0"/>
            <w:color w:val="0563C1"/>
            <w:sz w:val="22"/>
            <w:szCs w:val="22"/>
            <w:u w:val="single"/>
            <w:lang w:val="de"/>
          </w:rPr>
          <w:t>http://www.pcisecuritystandards.org/</w:t>
        </w:r>
      </w:hyperlink>
    </w:p>
    <w:p w:rsidR="56CE475E" w:rsidP="3676AEA2" w:rsidRDefault="56CE475E" w14:paraId="4D51F97A" w14:textId="32CAF842">
      <w:pPr>
        <w:pStyle w:val="ListParagraph"/>
        <w:numPr>
          <w:ilvl w:val="1"/>
          <w:numId w:val="34"/>
        </w:numPr>
        <w:spacing w:before="0" w:beforeAutospacing="off" w:after="0" w:afterAutospacing="off" w:line="276" w:lineRule="auto"/>
        <w:ind w:left="1440" w:right="0" w:hanging="360"/>
        <w:jc w:val="both"/>
        <w:rPr>
          <w:rFonts w:ascii="Times New Roman" w:hAnsi="Times New Roman" w:eastAsia="Times New Roman" w:cs="Times New Roman"/>
          <w:strike w:val="0"/>
          <w:dstrike w:val="0"/>
          <w:noProof w:val="0"/>
          <w:color w:val="0563C1"/>
          <w:sz w:val="22"/>
          <w:szCs w:val="22"/>
          <w:u w:val="single"/>
          <w:lang w:val="de-DE"/>
        </w:rPr>
      </w:pPr>
      <w:r w:rsidRPr="3676AEA2" w:rsidR="56CE475E">
        <w:rPr>
          <w:rFonts w:ascii="Times New Roman" w:hAnsi="Times New Roman" w:eastAsia="Times New Roman" w:cs="Times New Roman"/>
          <w:noProof w:val="0"/>
          <w:sz w:val="22"/>
          <w:szCs w:val="22"/>
          <w:lang w:val="de-DE"/>
        </w:rPr>
        <w:t xml:space="preserve">National Institute </w:t>
      </w:r>
      <w:r w:rsidRPr="3676AEA2" w:rsidR="56CE475E">
        <w:rPr>
          <w:rFonts w:ascii="Times New Roman" w:hAnsi="Times New Roman" w:eastAsia="Times New Roman" w:cs="Times New Roman"/>
          <w:noProof w:val="0"/>
          <w:sz w:val="22"/>
          <w:szCs w:val="22"/>
          <w:lang w:val="de-DE"/>
        </w:rPr>
        <w:t>for</w:t>
      </w:r>
      <w:r w:rsidRPr="3676AEA2" w:rsidR="56CE475E">
        <w:rPr>
          <w:rFonts w:ascii="Times New Roman" w:hAnsi="Times New Roman" w:eastAsia="Times New Roman" w:cs="Times New Roman"/>
          <w:noProof w:val="0"/>
          <w:sz w:val="22"/>
          <w:szCs w:val="22"/>
          <w:lang w:val="de-DE"/>
        </w:rPr>
        <w:t xml:space="preserve"> Standards and Technology - siehe </w:t>
      </w:r>
      <w:hyperlink r:id="R15b40f98335242d3">
        <w:r w:rsidRPr="3676AEA2" w:rsidR="56CE475E">
          <w:rPr>
            <w:rStyle w:val="Hyperlink"/>
            <w:rFonts w:ascii="Times New Roman" w:hAnsi="Times New Roman" w:eastAsia="Times New Roman" w:cs="Times New Roman"/>
            <w:strike w:val="0"/>
            <w:dstrike w:val="0"/>
            <w:noProof w:val="0"/>
            <w:color w:val="0563C1"/>
            <w:sz w:val="22"/>
            <w:szCs w:val="22"/>
            <w:u w:val="single"/>
            <w:lang w:val="de-DE"/>
          </w:rPr>
          <w:t>http://csrc.nist.gov</w:t>
        </w:r>
      </w:hyperlink>
    </w:p>
    <w:p w:rsidR="56CE475E" w:rsidP="3676AEA2" w:rsidRDefault="56CE475E" w14:paraId="67A06DDA" w14:textId="782A8B92">
      <w:pPr>
        <w:pStyle w:val="ListParagraph"/>
        <w:numPr>
          <w:ilvl w:val="1"/>
          <w:numId w:val="34"/>
        </w:numPr>
        <w:spacing w:before="0" w:beforeAutospacing="off" w:after="0" w:afterAutospacing="off" w:line="276" w:lineRule="auto"/>
        <w:ind w:left="1440" w:right="0" w:hanging="360"/>
        <w:jc w:val="both"/>
        <w:rPr>
          <w:rFonts w:ascii="Times New Roman" w:hAnsi="Times New Roman" w:eastAsia="Times New Roman" w:cs="Times New Roman"/>
          <w:strike w:val="0"/>
          <w:dstrike w:val="0"/>
          <w:noProof w:val="0"/>
          <w:color w:val="0563C1"/>
          <w:sz w:val="22"/>
          <w:szCs w:val="22"/>
          <w:u w:val="single"/>
          <w:lang w:val="de"/>
        </w:rPr>
      </w:pPr>
      <w:r w:rsidRPr="3676AEA2" w:rsidR="56CE475E">
        <w:rPr>
          <w:rFonts w:ascii="Times New Roman" w:hAnsi="Times New Roman" w:eastAsia="Times New Roman" w:cs="Times New Roman"/>
          <w:noProof w:val="0"/>
          <w:sz w:val="22"/>
          <w:szCs w:val="22"/>
          <w:lang w:val="de"/>
        </w:rPr>
        <w:t xml:space="preserve">Federal Information Security Management Act (FISMA) - siehe </w:t>
      </w:r>
      <w:hyperlink r:id="R9b851a6949874248">
        <w:r w:rsidRPr="3676AEA2" w:rsidR="56CE475E">
          <w:rPr>
            <w:rStyle w:val="Hyperlink"/>
            <w:rFonts w:ascii="Times New Roman" w:hAnsi="Times New Roman" w:eastAsia="Times New Roman" w:cs="Times New Roman"/>
            <w:strike w:val="0"/>
            <w:dstrike w:val="0"/>
            <w:noProof w:val="0"/>
            <w:color w:val="0563C1"/>
            <w:sz w:val="22"/>
            <w:szCs w:val="22"/>
            <w:u w:val="single"/>
            <w:lang w:val="de"/>
          </w:rPr>
          <w:t>http://csrc.nist.gov</w:t>
        </w:r>
      </w:hyperlink>
    </w:p>
    <w:p w:rsidR="56CE475E" w:rsidP="3676AEA2" w:rsidRDefault="56CE475E" w14:paraId="50236CC8" w14:textId="672023AA">
      <w:pPr>
        <w:pStyle w:val="ListParagraph"/>
        <w:numPr>
          <w:ilvl w:val="1"/>
          <w:numId w:val="34"/>
        </w:numPr>
        <w:spacing w:before="0" w:beforeAutospacing="off" w:after="0" w:afterAutospacing="off" w:line="276" w:lineRule="auto"/>
        <w:ind w:left="1440" w:right="0" w:hanging="360"/>
        <w:jc w:val="both"/>
        <w:rPr>
          <w:rFonts w:ascii="Times New Roman" w:hAnsi="Times New Roman" w:eastAsia="Times New Roman" w:cs="Times New Roman"/>
          <w:strike w:val="0"/>
          <w:dstrike w:val="0"/>
          <w:noProof w:val="0"/>
          <w:color w:val="0563C1"/>
          <w:sz w:val="22"/>
          <w:szCs w:val="22"/>
          <w:u w:val="single"/>
          <w:lang w:val="de"/>
        </w:rPr>
      </w:pPr>
      <w:r w:rsidRPr="3676AEA2" w:rsidR="56CE475E">
        <w:rPr>
          <w:rFonts w:ascii="Times New Roman" w:hAnsi="Times New Roman" w:eastAsia="Times New Roman" w:cs="Times New Roman"/>
          <w:noProof w:val="0"/>
          <w:sz w:val="22"/>
          <w:szCs w:val="22"/>
          <w:lang w:val="de"/>
        </w:rPr>
        <w:t xml:space="preserve">ISO/IEC 27000-series - siehe </w:t>
      </w:r>
      <w:hyperlink r:id="R40a428fbda4d46e7">
        <w:r w:rsidRPr="3676AEA2" w:rsidR="56CE475E">
          <w:rPr>
            <w:rStyle w:val="Hyperlink"/>
            <w:rFonts w:ascii="Times New Roman" w:hAnsi="Times New Roman" w:eastAsia="Times New Roman" w:cs="Times New Roman"/>
            <w:strike w:val="0"/>
            <w:dstrike w:val="0"/>
            <w:noProof w:val="0"/>
            <w:color w:val="0563C1"/>
            <w:sz w:val="22"/>
            <w:szCs w:val="22"/>
            <w:u w:val="single"/>
            <w:lang w:val="de"/>
          </w:rPr>
          <w:t>http://www.iso27001security.com/</w:t>
        </w:r>
      </w:hyperlink>
    </w:p>
    <w:p w:rsidR="56CE475E" w:rsidP="3676AEA2" w:rsidRDefault="56CE475E" w14:paraId="6D832180" w14:textId="4095740A">
      <w:pPr>
        <w:pStyle w:val="ListParagraph"/>
        <w:numPr>
          <w:ilvl w:val="1"/>
          <w:numId w:val="34"/>
        </w:numPr>
        <w:spacing w:before="0" w:beforeAutospacing="off" w:after="0" w:afterAutospacing="off" w:line="276" w:lineRule="auto"/>
        <w:ind w:left="1440" w:right="0" w:hanging="360"/>
        <w:jc w:val="both"/>
        <w:rPr>
          <w:rFonts w:ascii="Times New Roman" w:hAnsi="Times New Roman" w:eastAsia="Times New Roman" w:cs="Times New Roman"/>
          <w:strike w:val="0"/>
          <w:dstrike w:val="0"/>
          <w:noProof w:val="0"/>
          <w:color w:val="0563C1"/>
          <w:sz w:val="22"/>
          <w:szCs w:val="22"/>
          <w:u w:val="single"/>
          <w:lang w:val="de-DE"/>
        </w:rPr>
      </w:pPr>
      <w:r w:rsidRPr="3676AEA2" w:rsidR="56CE475E">
        <w:rPr>
          <w:rFonts w:ascii="Times New Roman" w:hAnsi="Times New Roman" w:eastAsia="Times New Roman" w:cs="Times New Roman"/>
          <w:noProof w:val="0"/>
          <w:sz w:val="22"/>
          <w:szCs w:val="22"/>
          <w:lang w:val="de-DE"/>
        </w:rPr>
        <w:t>Organization</w:t>
      </w:r>
      <w:r w:rsidRPr="3676AEA2" w:rsidR="56CE475E">
        <w:rPr>
          <w:rFonts w:ascii="Times New Roman" w:hAnsi="Times New Roman" w:eastAsia="Times New Roman" w:cs="Times New Roman"/>
          <w:noProof w:val="0"/>
          <w:sz w:val="22"/>
          <w:szCs w:val="22"/>
          <w:lang w:val="de-DE"/>
        </w:rPr>
        <w:t xml:space="preserve"> </w:t>
      </w:r>
      <w:r w:rsidRPr="3676AEA2" w:rsidR="56CE475E">
        <w:rPr>
          <w:rFonts w:ascii="Times New Roman" w:hAnsi="Times New Roman" w:eastAsia="Times New Roman" w:cs="Times New Roman"/>
          <w:noProof w:val="0"/>
          <w:sz w:val="22"/>
          <w:szCs w:val="22"/>
          <w:lang w:val="de-DE"/>
        </w:rPr>
        <w:t>for</w:t>
      </w:r>
      <w:r w:rsidRPr="3676AEA2" w:rsidR="56CE475E">
        <w:rPr>
          <w:rFonts w:ascii="Times New Roman" w:hAnsi="Times New Roman" w:eastAsia="Times New Roman" w:cs="Times New Roman"/>
          <w:noProof w:val="0"/>
          <w:sz w:val="22"/>
          <w:szCs w:val="22"/>
          <w:lang w:val="de-DE"/>
        </w:rPr>
        <w:t xml:space="preserve"> </w:t>
      </w:r>
      <w:r w:rsidRPr="3676AEA2" w:rsidR="56CE475E">
        <w:rPr>
          <w:rFonts w:ascii="Times New Roman" w:hAnsi="Times New Roman" w:eastAsia="Times New Roman" w:cs="Times New Roman"/>
          <w:noProof w:val="0"/>
          <w:sz w:val="22"/>
          <w:szCs w:val="22"/>
          <w:lang w:val="de-DE"/>
        </w:rPr>
        <w:t>the</w:t>
      </w:r>
      <w:r w:rsidRPr="3676AEA2" w:rsidR="56CE475E">
        <w:rPr>
          <w:rFonts w:ascii="Times New Roman" w:hAnsi="Times New Roman" w:eastAsia="Times New Roman" w:cs="Times New Roman"/>
          <w:noProof w:val="0"/>
          <w:sz w:val="22"/>
          <w:szCs w:val="22"/>
          <w:lang w:val="de-DE"/>
        </w:rPr>
        <w:t xml:space="preserve"> </w:t>
      </w:r>
      <w:r w:rsidRPr="3676AEA2" w:rsidR="56CE475E">
        <w:rPr>
          <w:rFonts w:ascii="Times New Roman" w:hAnsi="Times New Roman" w:eastAsia="Times New Roman" w:cs="Times New Roman"/>
          <w:noProof w:val="0"/>
          <w:sz w:val="22"/>
          <w:szCs w:val="22"/>
          <w:lang w:val="de-DE"/>
        </w:rPr>
        <w:t>Advancement</w:t>
      </w:r>
      <w:r w:rsidRPr="3676AEA2" w:rsidR="56CE475E">
        <w:rPr>
          <w:rFonts w:ascii="Times New Roman" w:hAnsi="Times New Roman" w:eastAsia="Times New Roman" w:cs="Times New Roman"/>
          <w:noProof w:val="0"/>
          <w:sz w:val="22"/>
          <w:szCs w:val="22"/>
          <w:lang w:val="de-DE"/>
        </w:rPr>
        <w:t xml:space="preserve"> </w:t>
      </w:r>
      <w:r w:rsidRPr="3676AEA2" w:rsidR="56CE475E">
        <w:rPr>
          <w:rFonts w:ascii="Times New Roman" w:hAnsi="Times New Roman" w:eastAsia="Times New Roman" w:cs="Times New Roman"/>
          <w:noProof w:val="0"/>
          <w:sz w:val="22"/>
          <w:szCs w:val="22"/>
          <w:lang w:val="de-DE"/>
        </w:rPr>
        <w:t>of</w:t>
      </w:r>
      <w:r w:rsidRPr="3676AEA2" w:rsidR="56CE475E">
        <w:rPr>
          <w:rFonts w:ascii="Times New Roman" w:hAnsi="Times New Roman" w:eastAsia="Times New Roman" w:cs="Times New Roman"/>
          <w:noProof w:val="0"/>
          <w:sz w:val="22"/>
          <w:szCs w:val="22"/>
          <w:lang w:val="de-DE"/>
        </w:rPr>
        <w:t xml:space="preserve"> Structured Information Standards (OASIS) – siehe </w:t>
      </w:r>
      <w:hyperlink r:id="Rcd4dfed430b5414e">
        <w:r w:rsidRPr="3676AEA2" w:rsidR="56CE475E">
          <w:rPr>
            <w:rStyle w:val="Hyperlink"/>
            <w:rFonts w:ascii="Times New Roman" w:hAnsi="Times New Roman" w:eastAsia="Times New Roman" w:cs="Times New Roman"/>
            <w:strike w:val="0"/>
            <w:dstrike w:val="0"/>
            <w:noProof w:val="0"/>
            <w:color w:val="0563C1"/>
            <w:sz w:val="22"/>
            <w:szCs w:val="22"/>
            <w:u w:val="single"/>
            <w:lang w:val="de-DE"/>
          </w:rPr>
          <w:t>http://www.oasis-open.org/</w:t>
        </w:r>
      </w:hyperlink>
    </w:p>
    <w:p w:rsidR="56CE475E" w:rsidP="3676AEA2" w:rsidRDefault="56CE475E" w14:paraId="271EC6C3" w14:textId="00C9E20B">
      <w:pPr>
        <w:pStyle w:val="ListParagraph"/>
        <w:numPr>
          <w:ilvl w:val="1"/>
          <w:numId w:val="34"/>
        </w:numPr>
        <w:spacing w:before="0" w:beforeAutospacing="off" w:after="0" w:afterAutospacing="off" w:line="276" w:lineRule="auto"/>
        <w:ind w:left="1440" w:right="0" w:hanging="360"/>
        <w:jc w:val="both"/>
        <w:rPr>
          <w:rFonts w:ascii="Times New Roman" w:hAnsi="Times New Roman" w:eastAsia="Times New Roman" w:cs="Times New Roman"/>
          <w:strike w:val="0"/>
          <w:dstrike w:val="0"/>
          <w:noProof w:val="0"/>
          <w:color w:val="0563C1"/>
          <w:sz w:val="22"/>
          <w:szCs w:val="22"/>
          <w:u w:val="single"/>
          <w:lang w:val="de-DE"/>
        </w:rPr>
      </w:pPr>
      <w:r w:rsidRPr="3676AEA2" w:rsidR="56CE475E">
        <w:rPr>
          <w:rFonts w:ascii="Times New Roman" w:hAnsi="Times New Roman" w:eastAsia="Times New Roman" w:cs="Times New Roman"/>
          <w:noProof w:val="0"/>
          <w:sz w:val="22"/>
          <w:szCs w:val="22"/>
          <w:lang w:val="de-DE"/>
        </w:rPr>
        <w:t xml:space="preserve">The Open Web </w:t>
      </w:r>
      <w:r w:rsidRPr="3676AEA2" w:rsidR="56CE475E">
        <w:rPr>
          <w:rFonts w:ascii="Times New Roman" w:hAnsi="Times New Roman" w:eastAsia="Times New Roman" w:cs="Times New Roman"/>
          <w:noProof w:val="0"/>
          <w:sz w:val="22"/>
          <w:szCs w:val="22"/>
          <w:lang w:val="de-DE"/>
        </w:rPr>
        <w:t>Application</w:t>
      </w:r>
      <w:r w:rsidRPr="3676AEA2" w:rsidR="56CE475E">
        <w:rPr>
          <w:rFonts w:ascii="Times New Roman" w:hAnsi="Times New Roman" w:eastAsia="Times New Roman" w:cs="Times New Roman"/>
          <w:noProof w:val="0"/>
          <w:sz w:val="22"/>
          <w:szCs w:val="22"/>
          <w:lang w:val="de-DE"/>
        </w:rPr>
        <w:t xml:space="preserve"> Security </w:t>
      </w:r>
      <w:r w:rsidRPr="3676AEA2" w:rsidR="56CE475E">
        <w:rPr>
          <w:rFonts w:ascii="Times New Roman" w:hAnsi="Times New Roman" w:eastAsia="Times New Roman" w:cs="Times New Roman"/>
          <w:noProof w:val="0"/>
          <w:sz w:val="22"/>
          <w:szCs w:val="22"/>
          <w:lang w:val="de-DE"/>
        </w:rPr>
        <w:t>Project’s</w:t>
      </w:r>
      <w:r w:rsidRPr="3676AEA2" w:rsidR="56CE475E">
        <w:rPr>
          <w:rFonts w:ascii="Times New Roman" w:hAnsi="Times New Roman" w:eastAsia="Times New Roman" w:cs="Times New Roman"/>
          <w:noProof w:val="0"/>
          <w:sz w:val="22"/>
          <w:szCs w:val="22"/>
          <w:lang w:val="de-DE"/>
        </w:rPr>
        <w:t xml:space="preserve"> (</w:t>
      </w:r>
      <w:r w:rsidRPr="3676AEA2" w:rsidR="56CE475E">
        <w:rPr>
          <w:rFonts w:ascii="Times New Roman" w:hAnsi="Times New Roman" w:eastAsia="Times New Roman" w:cs="Times New Roman"/>
          <w:noProof w:val="0"/>
          <w:sz w:val="22"/>
          <w:szCs w:val="22"/>
          <w:lang w:val="de-DE"/>
        </w:rPr>
        <w:t>OWASP)  –</w:t>
      </w:r>
      <w:r w:rsidRPr="3676AEA2" w:rsidR="56CE475E">
        <w:rPr>
          <w:rFonts w:ascii="Times New Roman" w:hAnsi="Times New Roman" w:eastAsia="Times New Roman" w:cs="Times New Roman"/>
          <w:noProof w:val="0"/>
          <w:sz w:val="22"/>
          <w:szCs w:val="22"/>
          <w:lang w:val="de-DE"/>
        </w:rPr>
        <w:t xml:space="preserve"> siehe </w:t>
      </w:r>
      <w:hyperlink r:id="R57bff5526ea34bd1">
        <w:r w:rsidRPr="3676AEA2" w:rsidR="56CE475E">
          <w:rPr>
            <w:rStyle w:val="Hyperlink"/>
            <w:rFonts w:ascii="Times New Roman" w:hAnsi="Times New Roman" w:eastAsia="Times New Roman" w:cs="Times New Roman"/>
            <w:strike w:val="0"/>
            <w:dstrike w:val="0"/>
            <w:noProof w:val="0"/>
            <w:color w:val="0563C1"/>
            <w:sz w:val="22"/>
            <w:szCs w:val="22"/>
            <w:u w:val="single"/>
            <w:lang w:val="de-DE"/>
          </w:rPr>
          <w:t>http://www.owasp.org</w:t>
        </w:r>
      </w:hyperlink>
    </w:p>
    <w:p w:rsidR="56CE475E" w:rsidP="3676AEA2" w:rsidRDefault="56CE475E" w14:paraId="23114362" w14:textId="279BA68F">
      <w:pPr>
        <w:pStyle w:val="ListParagraph"/>
        <w:numPr>
          <w:ilvl w:val="1"/>
          <w:numId w:val="34"/>
        </w:numPr>
        <w:spacing w:before="0" w:beforeAutospacing="off" w:after="0" w:afterAutospacing="off" w:line="276" w:lineRule="auto"/>
        <w:ind w:left="1440" w:right="0" w:hanging="360"/>
        <w:jc w:val="both"/>
        <w:rPr>
          <w:rFonts w:ascii="Times New Roman" w:hAnsi="Times New Roman" w:eastAsia="Times New Roman" w:cs="Times New Roman"/>
          <w:noProof w:val="0"/>
          <w:sz w:val="22"/>
          <w:szCs w:val="22"/>
          <w:lang w:val="de-DE"/>
        </w:rPr>
      </w:pPr>
      <w:r w:rsidRPr="3676AEA2" w:rsidR="56CE475E">
        <w:rPr>
          <w:rFonts w:ascii="Times New Roman" w:hAnsi="Times New Roman" w:eastAsia="Times New Roman" w:cs="Times New Roman"/>
          <w:noProof w:val="0"/>
          <w:sz w:val="22"/>
          <w:szCs w:val="22"/>
          <w:lang w:val="de-DE"/>
        </w:rPr>
        <w:t xml:space="preserve">Die CWE (Common </w:t>
      </w:r>
      <w:r w:rsidRPr="3676AEA2" w:rsidR="56CE475E">
        <w:rPr>
          <w:rFonts w:ascii="Times New Roman" w:hAnsi="Times New Roman" w:eastAsia="Times New Roman" w:cs="Times New Roman"/>
          <w:noProof w:val="0"/>
          <w:sz w:val="22"/>
          <w:szCs w:val="22"/>
          <w:lang w:val="de-DE"/>
        </w:rPr>
        <w:t>Weakness</w:t>
      </w:r>
      <w:r w:rsidRPr="3676AEA2" w:rsidR="56CE475E">
        <w:rPr>
          <w:rFonts w:ascii="Times New Roman" w:hAnsi="Times New Roman" w:eastAsia="Times New Roman" w:cs="Times New Roman"/>
          <w:noProof w:val="0"/>
          <w:sz w:val="22"/>
          <w:szCs w:val="22"/>
          <w:lang w:val="de-DE"/>
        </w:rPr>
        <w:t xml:space="preserve"> Enumeration) - siehe </w:t>
      </w:r>
      <w:hyperlink r:id="R2a232760cc924e9e">
        <w:r w:rsidRPr="3676AEA2" w:rsidR="56CE475E">
          <w:rPr>
            <w:rStyle w:val="Hyperlink"/>
            <w:rFonts w:ascii="Times New Roman" w:hAnsi="Times New Roman" w:eastAsia="Times New Roman" w:cs="Times New Roman"/>
            <w:strike w:val="0"/>
            <w:dstrike w:val="0"/>
            <w:noProof w:val="0"/>
            <w:color w:val="0563C1"/>
            <w:sz w:val="22"/>
            <w:szCs w:val="22"/>
            <w:u w:val="single"/>
            <w:lang w:val="de-DE"/>
          </w:rPr>
          <w:t>http://cwe.mitre.org</w:t>
        </w:r>
      </w:hyperlink>
      <w:r w:rsidRPr="3676AEA2" w:rsidR="56CE475E">
        <w:rPr>
          <w:rFonts w:ascii="Times New Roman" w:hAnsi="Times New Roman" w:eastAsia="Times New Roman" w:cs="Times New Roman"/>
          <w:noProof w:val="0"/>
          <w:sz w:val="22"/>
          <w:szCs w:val="22"/>
          <w:lang w:val="de-DE"/>
        </w:rPr>
        <w:t xml:space="preserve"> oder CWE/SANS Top 25 Programmierfehler - </w:t>
      </w:r>
      <w:hyperlink r:id="R2ed23250eef7450c">
        <w:r w:rsidRPr="3676AEA2" w:rsidR="56CE475E">
          <w:rPr>
            <w:rStyle w:val="Hyperlink"/>
            <w:rFonts w:ascii="Times New Roman" w:hAnsi="Times New Roman" w:eastAsia="Times New Roman" w:cs="Times New Roman"/>
            <w:strike w:val="0"/>
            <w:dstrike w:val="0"/>
            <w:noProof w:val="0"/>
            <w:color w:val="0563C1"/>
            <w:sz w:val="22"/>
            <w:szCs w:val="22"/>
            <w:u w:val="single"/>
            <w:lang w:val="de-DE"/>
          </w:rPr>
          <w:t>http://cwe.mitre.org/top25/</w:t>
        </w:r>
      </w:hyperlink>
      <w:r w:rsidRPr="3676AEA2" w:rsidR="56CE475E">
        <w:rPr>
          <w:rFonts w:ascii="Times New Roman" w:hAnsi="Times New Roman" w:eastAsia="Times New Roman" w:cs="Times New Roman"/>
          <w:noProof w:val="0"/>
          <w:sz w:val="22"/>
          <w:szCs w:val="22"/>
          <w:lang w:val="de-DE"/>
        </w:rPr>
        <w:t xml:space="preserve"> </w:t>
      </w:r>
    </w:p>
    <w:p w:rsidR="56CE475E" w:rsidP="3676AEA2" w:rsidRDefault="56CE475E" w14:paraId="5076D96E" w14:textId="4B770066">
      <w:pPr>
        <w:pStyle w:val="ListParagraph"/>
        <w:numPr>
          <w:ilvl w:val="1"/>
          <w:numId w:val="34"/>
        </w:numPr>
        <w:spacing w:before="0" w:beforeAutospacing="off" w:after="0" w:afterAutospacing="off" w:line="276" w:lineRule="auto"/>
        <w:ind w:left="1440" w:right="0" w:hanging="360"/>
        <w:jc w:val="both"/>
        <w:rPr>
          <w:rFonts w:ascii="Times New Roman" w:hAnsi="Times New Roman" w:eastAsia="Times New Roman" w:cs="Times New Roman"/>
          <w:strike w:val="0"/>
          <w:dstrike w:val="0"/>
          <w:noProof w:val="0"/>
          <w:color w:val="0563C1"/>
          <w:sz w:val="22"/>
          <w:szCs w:val="22"/>
          <w:u w:val="single"/>
          <w:lang w:val="de"/>
        </w:rPr>
      </w:pPr>
      <w:r w:rsidRPr="3676AEA2" w:rsidR="56CE475E">
        <w:rPr>
          <w:rFonts w:ascii="Times New Roman" w:hAnsi="Times New Roman" w:eastAsia="Times New Roman" w:cs="Times New Roman"/>
          <w:noProof w:val="0"/>
          <w:sz w:val="22"/>
          <w:szCs w:val="22"/>
          <w:lang w:val="de"/>
        </w:rPr>
        <w:t xml:space="preserve">Das SANS-Institut - siehe </w:t>
      </w:r>
      <w:hyperlink r:id="Rfaba51ad9c3a4772">
        <w:r w:rsidRPr="3676AEA2" w:rsidR="56CE475E">
          <w:rPr>
            <w:rStyle w:val="Hyperlink"/>
            <w:rFonts w:ascii="Times New Roman" w:hAnsi="Times New Roman" w:eastAsia="Times New Roman" w:cs="Times New Roman"/>
            <w:strike w:val="0"/>
            <w:dstrike w:val="0"/>
            <w:noProof w:val="0"/>
            <w:color w:val="0563C1"/>
            <w:sz w:val="22"/>
            <w:szCs w:val="22"/>
            <w:u w:val="single"/>
            <w:lang w:val="de"/>
          </w:rPr>
          <w:t>http://www.sans.org</w:t>
        </w:r>
      </w:hyperlink>
    </w:p>
    <w:p w:rsidR="56CE475E" w:rsidP="3676AEA2" w:rsidRDefault="56CE475E" w14:paraId="0064D290" w14:textId="0E298382">
      <w:pPr>
        <w:pStyle w:val="ListParagraph"/>
        <w:numPr>
          <w:ilvl w:val="1"/>
          <w:numId w:val="34"/>
        </w:numPr>
        <w:spacing w:before="0" w:beforeAutospacing="off" w:after="0" w:afterAutospacing="off" w:line="276" w:lineRule="auto"/>
        <w:ind w:left="1440" w:right="0" w:hanging="360"/>
        <w:jc w:val="both"/>
        <w:rPr>
          <w:rFonts w:ascii="Times New Roman" w:hAnsi="Times New Roman" w:eastAsia="Times New Roman" w:cs="Times New Roman"/>
          <w:noProof w:val="0"/>
          <w:sz w:val="22"/>
          <w:szCs w:val="22"/>
          <w:lang w:val="de"/>
        </w:rPr>
      </w:pPr>
      <w:r w:rsidRPr="3676AEA2" w:rsidR="56CE475E">
        <w:rPr>
          <w:rFonts w:ascii="Times New Roman" w:hAnsi="Times New Roman" w:eastAsia="Times New Roman" w:cs="Times New Roman"/>
          <w:noProof w:val="0"/>
          <w:sz w:val="22"/>
          <w:szCs w:val="22"/>
          <w:lang w:val="de"/>
        </w:rPr>
        <w:t xml:space="preserve">Die gefährlichsten Softwarefehler </w:t>
      </w:r>
      <w:hyperlink r:id="Ra72d7095699540f7">
        <w:r w:rsidRPr="3676AEA2" w:rsidR="56CE475E">
          <w:rPr>
            <w:rStyle w:val="Hyperlink"/>
            <w:rFonts w:ascii="Times New Roman" w:hAnsi="Times New Roman" w:eastAsia="Times New Roman" w:cs="Times New Roman"/>
            <w:strike w:val="0"/>
            <w:dstrike w:val="0"/>
            <w:noProof w:val="0"/>
            <w:color w:val="0563C1"/>
            <w:sz w:val="22"/>
            <w:szCs w:val="22"/>
            <w:u w:val="single"/>
            <w:lang w:val="de"/>
          </w:rPr>
          <w:t>http://www.sans.org/top25-programming-errors/</w:t>
        </w:r>
      </w:hyperlink>
      <w:r w:rsidRPr="3676AEA2" w:rsidR="56CE475E">
        <w:rPr>
          <w:rFonts w:ascii="Times New Roman" w:hAnsi="Times New Roman" w:eastAsia="Times New Roman" w:cs="Times New Roman"/>
          <w:noProof w:val="0"/>
          <w:sz w:val="22"/>
          <w:szCs w:val="22"/>
          <w:lang w:val="de"/>
        </w:rPr>
        <w:t xml:space="preserve">   </w:t>
      </w:r>
    </w:p>
    <w:p w:rsidR="56CE475E" w:rsidP="3676AEA2" w:rsidRDefault="56CE475E" w14:paraId="2632EBE5" w14:textId="3E171EA4">
      <w:pPr>
        <w:spacing w:before="0" w:beforeAutospacing="off" w:after="240" w:afterAutospacing="off" w:line="276" w:lineRule="auto"/>
        <w:jc w:val="both"/>
        <w:rPr>
          <w:rFonts w:ascii="Times New Roman" w:hAnsi="Times New Roman" w:eastAsia="Times New Roman" w:cs="Times New Roman"/>
          <w:noProof w:val="0"/>
          <w:sz w:val="22"/>
          <w:szCs w:val="22"/>
          <w:lang w:val="de"/>
        </w:rPr>
      </w:pPr>
      <w:r w:rsidRPr="3676AEA2" w:rsidR="56CE475E">
        <w:rPr>
          <w:rFonts w:ascii="Times New Roman" w:hAnsi="Times New Roman" w:eastAsia="Times New Roman" w:cs="Times New Roman"/>
          <w:noProof w:val="0"/>
          <w:sz w:val="22"/>
          <w:szCs w:val="22"/>
          <w:lang w:val="de"/>
        </w:rPr>
        <w:t>Auf angemessene Anfrage des Unternehmens hin, soll der Lieferant dem Unternehmen die Überprüfung der Einhaltung der oben genannten Anforderungen durch den Lieferanten ermöglichen. Der Lieferant soll etwaige Nichteinhaltungen der Anforderungen so schnell wie möglich beheben.</w:t>
      </w:r>
    </w:p>
    <w:p w:rsidR="3676AEA2" w:rsidP="3676AEA2" w:rsidRDefault="3676AEA2" w14:paraId="749C2A5B" w14:textId="1F5C779A">
      <w:pPr>
        <w:rPr>
          <w:rFonts w:ascii="Times New Roman" w:hAnsi="Times New Roman" w:eastAsia="Times New Roman" w:cs="Times New Roman"/>
          <w:sz w:val="22"/>
          <w:szCs w:val="22"/>
        </w:rPr>
      </w:pPr>
    </w:p>
    <w:p w:rsidR="3676AEA2" w:rsidP="3676AEA2" w:rsidRDefault="3676AEA2" w14:paraId="03CFB1C0" w14:textId="6887EAFB">
      <w:pPr>
        <w:rPr>
          <w:rFonts w:ascii="Times New Roman" w:hAnsi="Times New Roman" w:eastAsia="Times New Roman" w:cs="Times New Roman"/>
          <w:sz w:val="22"/>
          <w:szCs w:val="22"/>
        </w:rPr>
      </w:pPr>
      <w:r w:rsidRPr="3676AEA2">
        <w:rPr>
          <w:rFonts w:ascii="Times New Roman" w:hAnsi="Times New Roman" w:eastAsia="Times New Roman" w:cs="Times New Roman"/>
          <w:sz w:val="22"/>
          <w:szCs w:val="22"/>
        </w:rPr>
        <w:br w:type="page"/>
      </w:r>
    </w:p>
    <w:p w:rsidRPr="0040051E" w:rsidR="00250A6C" w:rsidP="3676AEA2" w:rsidRDefault="00250A6C" w14:paraId="4F79DB57" w14:textId="5584C28E">
      <w:pPr>
        <w:pStyle w:val="Default"/>
        <w:spacing w:before="240" w:after="100" w:afterAutospacing="on"/>
        <w:jc w:val="center"/>
        <w:rPr>
          <w:rFonts w:ascii="Times New Roman" w:hAnsi="Times New Roman" w:eastAsia="Times New Roman" w:cs="Times New Roman"/>
          <w:b w:val="1"/>
          <w:bCs w:val="1"/>
          <w:color w:val="auto"/>
          <w:sz w:val="22"/>
          <w:szCs w:val="22"/>
        </w:rPr>
      </w:pPr>
      <w:r w:rsidRPr="3676AEA2" w:rsidR="00250A6C">
        <w:rPr>
          <w:rFonts w:ascii="Times New Roman" w:hAnsi="Times New Roman" w:eastAsia="Times New Roman" w:cs="Times New Roman"/>
          <w:b w:val="1"/>
          <w:bCs w:val="1"/>
          <w:color w:val="auto"/>
          <w:sz w:val="22"/>
          <w:szCs w:val="22"/>
        </w:rPr>
        <w:t>ANHANG 2</w:t>
      </w:r>
    </w:p>
    <w:p w:rsidRPr="0040051E" w:rsidR="00334B2A" w:rsidP="3676AEA2" w:rsidRDefault="00334B2A" w14:paraId="61289EDF" w14:textId="3C17B34C">
      <w:pPr>
        <w:pStyle w:val="Default"/>
        <w:spacing w:before="240" w:after="100" w:afterAutospacing="on"/>
        <w:rPr>
          <w:rFonts w:ascii="Times New Roman" w:hAnsi="Times New Roman" w:eastAsia="Times New Roman" w:cs="Times New Roman"/>
          <w:color w:val="auto"/>
          <w:sz w:val="22"/>
          <w:szCs w:val="22"/>
        </w:rPr>
      </w:pPr>
      <w:r w:rsidRPr="3676AEA2" w:rsidR="00334B2A">
        <w:rPr>
          <w:rFonts w:ascii="Times New Roman" w:hAnsi="Times New Roman" w:eastAsia="Times New Roman" w:cs="Times New Roman"/>
          <w:color w:val="auto"/>
          <w:sz w:val="22"/>
          <w:szCs w:val="22"/>
        </w:rPr>
        <w:t>Für den Fall, dass das Unternehmen personenbezogene Daten in einer Weise exportiert, die Modul 2 der Standardvertragsklauseln erfordert, gelten die folgenden Bedingungen:</w:t>
      </w:r>
    </w:p>
    <w:p w:rsidRPr="0040051E" w:rsidR="00250A6C" w:rsidP="3676AEA2" w:rsidRDefault="00250A6C" w14:paraId="164F82A1" w14:textId="73BF5FE3">
      <w:pPr>
        <w:pStyle w:val="Default"/>
        <w:spacing w:before="240" w:after="100" w:afterAutospacing="on"/>
        <w:rPr>
          <w:rFonts w:ascii="Times New Roman" w:hAnsi="Times New Roman" w:eastAsia="Times New Roman" w:cs="Times New Roman"/>
          <w:i w:val="1"/>
          <w:iCs w:val="1"/>
          <w:color w:val="auto"/>
          <w:sz w:val="22"/>
          <w:szCs w:val="22"/>
        </w:rPr>
      </w:pPr>
      <w:r w:rsidRPr="3676AEA2" w:rsidR="00250A6C">
        <w:rPr>
          <w:rFonts w:ascii="Times New Roman" w:hAnsi="Times New Roman" w:eastAsia="Times New Roman" w:cs="Times New Roman"/>
          <w:i w:val="1"/>
          <w:iCs w:val="1"/>
          <w:color w:val="auto"/>
          <w:sz w:val="22"/>
          <w:szCs w:val="22"/>
        </w:rPr>
        <w:t>Der Haupttext von Modul 2 (Verantwortlicher an Auftragsverarbeiter) der Standardvertragsklauseln, die</w:t>
      </w:r>
      <w:r w:rsidRPr="3676AEA2" w:rsidR="0040051E">
        <w:rPr>
          <w:rFonts w:ascii="Times New Roman" w:hAnsi="Times New Roman" w:eastAsia="Times New Roman" w:cs="Times New Roman"/>
          <w:i w:val="1"/>
          <w:iCs w:val="1"/>
          <w:color w:val="auto"/>
          <w:sz w:val="22"/>
          <w:szCs w:val="22"/>
        </w:rPr>
        <w:t> </w:t>
      </w:r>
      <w:r w:rsidRPr="3676AEA2" w:rsidR="00250A6C">
        <w:rPr>
          <w:rFonts w:ascii="Times New Roman" w:hAnsi="Times New Roman" w:eastAsia="Times New Roman" w:cs="Times New Roman"/>
          <w:i w:val="1"/>
          <w:iCs w:val="1"/>
          <w:color w:val="auto"/>
          <w:sz w:val="22"/>
          <w:szCs w:val="22"/>
        </w:rPr>
        <w:t>dem Durchführungsbeschluss (EU) 2021/914 der Kommission vom 4. Juni 2021 beigefügt sind, wird</w:t>
      </w:r>
      <w:r w:rsidRPr="3676AEA2" w:rsidR="0040051E">
        <w:rPr>
          <w:rFonts w:ascii="Times New Roman" w:hAnsi="Times New Roman" w:eastAsia="Times New Roman" w:cs="Times New Roman"/>
          <w:i w:val="1"/>
          <w:iCs w:val="1"/>
          <w:color w:val="auto"/>
          <w:sz w:val="22"/>
          <w:szCs w:val="22"/>
        </w:rPr>
        <w:t> </w:t>
      </w:r>
      <w:r w:rsidRPr="3676AEA2" w:rsidR="00250A6C">
        <w:rPr>
          <w:rFonts w:ascii="Times New Roman" w:hAnsi="Times New Roman" w:eastAsia="Times New Roman" w:cs="Times New Roman"/>
          <w:i w:val="1"/>
          <w:iCs w:val="1"/>
          <w:color w:val="auto"/>
          <w:sz w:val="22"/>
          <w:szCs w:val="22"/>
        </w:rPr>
        <w:t>hiermit durch Verweis aufgenommen. Optionale Aspekte werden im Folgenden beschrieben:</w:t>
      </w:r>
    </w:p>
    <w:p w:rsidRPr="0040051E" w:rsidR="00250A6C" w:rsidP="3676AEA2" w:rsidRDefault="004C5D95" w14:paraId="71523504" w14:textId="1D707E88">
      <w:pPr>
        <w:pStyle w:val="Default"/>
        <w:numPr>
          <w:ilvl w:val="0"/>
          <w:numId w:val="30"/>
        </w:numPr>
        <w:spacing w:before="240" w:after="100" w:afterAutospacing="on"/>
        <w:rPr>
          <w:rFonts w:ascii="Times New Roman" w:hAnsi="Times New Roman" w:eastAsia="Times New Roman" w:cs="Times New Roman"/>
          <w:i w:val="1"/>
          <w:iCs w:val="1"/>
          <w:color w:val="auto"/>
          <w:sz w:val="22"/>
          <w:szCs w:val="22"/>
        </w:rPr>
      </w:pPr>
      <w:r w:rsidRPr="3676AEA2" w:rsidR="004C5D95">
        <w:rPr>
          <w:rFonts w:ascii="Times New Roman" w:hAnsi="Times New Roman" w:eastAsia="Times New Roman" w:cs="Times New Roman"/>
          <w:i w:val="1"/>
          <w:iCs w:val="1"/>
          <w:color w:val="auto"/>
          <w:sz w:val="22"/>
          <w:szCs w:val="22"/>
        </w:rPr>
        <w:t>Klausel 7 (Andockklausel) entfällt.</w:t>
      </w:r>
    </w:p>
    <w:p w:rsidRPr="0040051E" w:rsidR="004C5D95" w:rsidP="3676AEA2" w:rsidRDefault="00532D1E" w14:paraId="42170BCA" w14:textId="728CC50D">
      <w:pPr>
        <w:pStyle w:val="Default"/>
        <w:numPr>
          <w:ilvl w:val="0"/>
          <w:numId w:val="30"/>
        </w:numPr>
        <w:spacing w:before="240" w:after="100" w:afterAutospacing="on"/>
        <w:rPr>
          <w:rFonts w:ascii="Times New Roman" w:hAnsi="Times New Roman" w:eastAsia="Times New Roman" w:cs="Times New Roman"/>
          <w:i w:val="1"/>
          <w:iCs w:val="1"/>
          <w:color w:val="auto"/>
          <w:sz w:val="22"/>
          <w:szCs w:val="22"/>
        </w:rPr>
      </w:pPr>
      <w:r w:rsidRPr="3676AEA2" w:rsidR="00532D1E">
        <w:rPr>
          <w:rFonts w:ascii="Times New Roman" w:hAnsi="Times New Roman" w:eastAsia="Times New Roman" w:cs="Times New Roman"/>
          <w:i w:val="1"/>
          <w:iCs w:val="1"/>
          <w:color w:val="auto"/>
          <w:sz w:val="22"/>
          <w:szCs w:val="22"/>
        </w:rPr>
        <w:t>Zu Klausel 9, Option 1: Es wird eine spezielle Vorabgenehmigung gewählt.</w:t>
      </w:r>
    </w:p>
    <w:p w:rsidRPr="0040051E" w:rsidR="00532D1E" w:rsidP="3676AEA2" w:rsidRDefault="00532D1E" w14:paraId="37E6ACD4" w14:textId="50E1692D">
      <w:pPr>
        <w:pStyle w:val="Default"/>
        <w:numPr>
          <w:ilvl w:val="0"/>
          <w:numId w:val="30"/>
        </w:numPr>
        <w:spacing w:before="240" w:after="100" w:afterAutospacing="on"/>
        <w:rPr>
          <w:rFonts w:ascii="Times New Roman" w:hAnsi="Times New Roman" w:eastAsia="Times New Roman" w:cs="Times New Roman"/>
          <w:i w:val="1"/>
          <w:iCs w:val="1"/>
          <w:color w:val="auto"/>
          <w:sz w:val="22"/>
          <w:szCs w:val="22"/>
        </w:rPr>
      </w:pPr>
      <w:r w:rsidRPr="3676AEA2" w:rsidR="00532D1E">
        <w:rPr>
          <w:rFonts w:ascii="Times New Roman" w:hAnsi="Times New Roman" w:eastAsia="Times New Roman" w:cs="Times New Roman"/>
          <w:i w:val="1"/>
          <w:iCs w:val="1"/>
          <w:color w:val="auto"/>
          <w:sz w:val="22"/>
          <w:szCs w:val="22"/>
        </w:rPr>
        <w:t>Für Klausel 11 entfällt der optionale Text.</w:t>
      </w:r>
    </w:p>
    <w:p w:rsidRPr="0040051E" w:rsidR="00532D1E" w:rsidP="3676AEA2" w:rsidRDefault="00532D1E" w14:paraId="2B015BBB" w14:textId="2BE9A054">
      <w:pPr>
        <w:pStyle w:val="Default"/>
        <w:numPr>
          <w:ilvl w:val="0"/>
          <w:numId w:val="30"/>
        </w:numPr>
        <w:spacing w:before="240" w:after="100" w:afterAutospacing="on"/>
        <w:rPr>
          <w:rFonts w:ascii="Times New Roman" w:hAnsi="Times New Roman" w:eastAsia="Times New Roman" w:cs="Times New Roman"/>
          <w:i w:val="1"/>
          <w:iCs w:val="1"/>
          <w:color w:val="auto"/>
          <w:sz w:val="22"/>
          <w:szCs w:val="22"/>
        </w:rPr>
      </w:pPr>
      <w:r w:rsidRPr="3676AEA2" w:rsidR="00532D1E">
        <w:rPr>
          <w:rFonts w:ascii="Times New Roman" w:hAnsi="Times New Roman" w:eastAsia="Times New Roman" w:cs="Times New Roman"/>
          <w:i w:val="1"/>
          <w:iCs w:val="1"/>
          <w:color w:val="auto"/>
          <w:sz w:val="22"/>
          <w:szCs w:val="22"/>
        </w:rPr>
        <w:t>Für Klausel 17 wird Option 1 gewählt, wobei der Mitgliedstaat die Niederlande ist.</w:t>
      </w:r>
    </w:p>
    <w:p w:rsidRPr="0040051E" w:rsidR="009454E9" w:rsidP="3676AEA2" w:rsidRDefault="00C95A05" w14:paraId="2BEC62AF" w14:textId="3F72B667">
      <w:pPr>
        <w:pStyle w:val="Default"/>
        <w:numPr>
          <w:ilvl w:val="0"/>
          <w:numId w:val="30"/>
        </w:numPr>
        <w:spacing w:before="240" w:after="100" w:afterAutospacing="on"/>
        <w:rPr>
          <w:rFonts w:ascii="Times New Roman" w:hAnsi="Times New Roman" w:eastAsia="Times New Roman" w:cs="Times New Roman"/>
          <w:i w:val="1"/>
          <w:iCs w:val="1"/>
          <w:color w:val="auto"/>
          <w:sz w:val="22"/>
          <w:szCs w:val="22"/>
        </w:rPr>
      </w:pPr>
      <w:r w:rsidRPr="3676AEA2" w:rsidR="00C95A05">
        <w:rPr>
          <w:rFonts w:ascii="Times New Roman" w:hAnsi="Times New Roman" w:eastAsia="Times New Roman" w:cs="Times New Roman"/>
          <w:i w:val="1"/>
          <w:iCs w:val="1"/>
          <w:color w:val="auto"/>
          <w:sz w:val="22"/>
          <w:szCs w:val="22"/>
        </w:rPr>
        <w:t xml:space="preserve">Für Klausel 18 ist der Gerichtsstand die Niederlande. </w:t>
      </w:r>
    </w:p>
    <w:p w:rsidRPr="0040051E" w:rsidR="00050FBC" w:rsidP="3676AEA2" w:rsidRDefault="00050FBC" w14:paraId="78747C9A" w14:textId="77777777">
      <w:pPr>
        <w:pStyle w:val="Default"/>
        <w:spacing w:before="240" w:after="100" w:afterAutospacing="on"/>
        <w:rPr>
          <w:rFonts w:ascii="Times New Roman" w:hAnsi="Times New Roman" w:eastAsia="Times New Roman" w:cs="Times New Roman"/>
          <w:color w:val="auto"/>
          <w:sz w:val="22"/>
          <w:szCs w:val="22"/>
        </w:rPr>
      </w:pPr>
    </w:p>
    <w:p w:rsidRPr="0040051E" w:rsidR="00334B2A" w:rsidP="3676AEA2" w:rsidRDefault="00334B2A" w14:paraId="66F7D072" w14:textId="12853893">
      <w:pPr>
        <w:pStyle w:val="Default"/>
        <w:spacing w:before="240" w:after="100" w:afterAutospacing="on"/>
        <w:rPr>
          <w:rFonts w:ascii="Times New Roman" w:hAnsi="Times New Roman" w:eastAsia="Times New Roman" w:cs="Times New Roman"/>
          <w:color w:val="auto"/>
          <w:sz w:val="22"/>
          <w:szCs w:val="22"/>
        </w:rPr>
      </w:pPr>
      <w:r w:rsidRPr="3676AEA2" w:rsidR="00334B2A">
        <w:rPr>
          <w:rFonts w:ascii="Times New Roman" w:hAnsi="Times New Roman" w:eastAsia="Times New Roman" w:cs="Times New Roman"/>
          <w:color w:val="auto"/>
          <w:sz w:val="22"/>
          <w:szCs w:val="22"/>
        </w:rPr>
        <w:t>Für den Fall, dass der Anbieter personenbezogene Daten in einer Weise exportiert, die Modul 4 der Standardvertragsklauseln erfordert, gelten die folgenden Bedingungen:</w:t>
      </w:r>
    </w:p>
    <w:p w:rsidRPr="0040051E" w:rsidR="000A6631" w:rsidP="3676AEA2" w:rsidRDefault="000A6631" w14:paraId="7DF25006" w14:textId="295ED3B0">
      <w:pPr>
        <w:pStyle w:val="Default"/>
        <w:spacing w:before="240" w:after="100" w:afterAutospacing="on"/>
        <w:rPr>
          <w:rFonts w:ascii="Times New Roman" w:hAnsi="Times New Roman" w:eastAsia="Times New Roman" w:cs="Times New Roman"/>
          <w:color w:val="auto"/>
          <w:sz w:val="22"/>
          <w:szCs w:val="22"/>
        </w:rPr>
      </w:pPr>
      <w:r w:rsidRPr="3676AEA2" w:rsidR="000A6631">
        <w:rPr>
          <w:rFonts w:ascii="Times New Roman" w:hAnsi="Times New Roman" w:eastAsia="Times New Roman" w:cs="Times New Roman"/>
          <w:i w:val="1"/>
          <w:iCs w:val="1"/>
          <w:color w:val="auto"/>
          <w:sz w:val="22"/>
          <w:szCs w:val="22"/>
        </w:rPr>
        <w:t>Der Haupttext von Modul 4 (Auftragsverarbeiter an Verantwortlicher) der Standardvertragsklauseln, die</w:t>
      </w:r>
      <w:r w:rsidRPr="3676AEA2" w:rsidR="0040051E">
        <w:rPr>
          <w:rFonts w:ascii="Times New Roman" w:hAnsi="Times New Roman" w:eastAsia="Times New Roman" w:cs="Times New Roman"/>
          <w:i w:val="1"/>
          <w:iCs w:val="1"/>
          <w:color w:val="auto"/>
          <w:sz w:val="22"/>
          <w:szCs w:val="22"/>
        </w:rPr>
        <w:t> </w:t>
      </w:r>
      <w:r w:rsidRPr="3676AEA2" w:rsidR="000A6631">
        <w:rPr>
          <w:rFonts w:ascii="Times New Roman" w:hAnsi="Times New Roman" w:eastAsia="Times New Roman" w:cs="Times New Roman"/>
          <w:i w:val="1"/>
          <w:iCs w:val="1"/>
          <w:color w:val="auto"/>
          <w:sz w:val="22"/>
          <w:szCs w:val="22"/>
        </w:rPr>
        <w:t>dem Durchführungsbeschluss (EU) 2021/914 der Kommission vom 4. Juni 2021 beigefügt sind, wird</w:t>
      </w:r>
      <w:r w:rsidRPr="3676AEA2" w:rsidR="0040051E">
        <w:rPr>
          <w:rFonts w:ascii="Times New Roman" w:hAnsi="Times New Roman" w:eastAsia="Times New Roman" w:cs="Times New Roman"/>
          <w:i w:val="1"/>
          <w:iCs w:val="1"/>
          <w:color w:val="auto"/>
          <w:sz w:val="22"/>
          <w:szCs w:val="22"/>
        </w:rPr>
        <w:t> </w:t>
      </w:r>
      <w:r w:rsidRPr="3676AEA2" w:rsidR="000A6631">
        <w:rPr>
          <w:rFonts w:ascii="Times New Roman" w:hAnsi="Times New Roman" w:eastAsia="Times New Roman" w:cs="Times New Roman"/>
          <w:i w:val="1"/>
          <w:iCs w:val="1"/>
          <w:color w:val="auto"/>
          <w:sz w:val="22"/>
          <w:szCs w:val="22"/>
        </w:rPr>
        <w:t>hiermit durch Verweis aufgenommen. Optionale Aspekte werden im Folgenden beschrieben:</w:t>
      </w:r>
    </w:p>
    <w:p w:rsidRPr="0040051E" w:rsidR="008334AA" w:rsidP="3676AEA2" w:rsidRDefault="000A6631" w14:paraId="03BB7908" w14:textId="77777777">
      <w:pPr>
        <w:pStyle w:val="Default"/>
        <w:numPr>
          <w:ilvl w:val="6"/>
          <w:numId w:val="32"/>
        </w:numPr>
        <w:spacing w:before="240" w:after="100" w:afterAutospacing="on"/>
        <w:rPr>
          <w:rFonts w:ascii="Times New Roman" w:hAnsi="Times New Roman" w:eastAsia="Times New Roman" w:cs="Times New Roman"/>
          <w:i w:val="1"/>
          <w:iCs w:val="1"/>
          <w:color w:val="auto"/>
          <w:sz w:val="22"/>
          <w:szCs w:val="22"/>
        </w:rPr>
      </w:pPr>
      <w:r w:rsidRPr="3676AEA2" w:rsidR="000A6631">
        <w:rPr>
          <w:rFonts w:ascii="Times New Roman" w:hAnsi="Times New Roman" w:eastAsia="Times New Roman" w:cs="Times New Roman"/>
          <w:i w:val="1"/>
          <w:iCs w:val="1"/>
          <w:color w:val="auto"/>
          <w:sz w:val="22"/>
          <w:szCs w:val="22"/>
        </w:rPr>
        <w:t>Klausel 7 (Andockklausel) entfällt.</w:t>
      </w:r>
    </w:p>
    <w:p w:rsidRPr="0040051E" w:rsidR="008334AA" w:rsidP="3676AEA2" w:rsidRDefault="008334AA" w14:paraId="5FF16459" w14:textId="6E81C6FB">
      <w:pPr>
        <w:pStyle w:val="Default"/>
        <w:numPr>
          <w:ilvl w:val="6"/>
          <w:numId w:val="32"/>
        </w:numPr>
        <w:spacing w:before="240" w:after="100" w:afterAutospacing="on"/>
        <w:rPr>
          <w:rFonts w:ascii="Times New Roman" w:hAnsi="Times New Roman" w:eastAsia="Times New Roman" w:cs="Times New Roman"/>
          <w:i w:val="1"/>
          <w:iCs w:val="1"/>
          <w:color w:val="auto"/>
          <w:sz w:val="22"/>
          <w:szCs w:val="22"/>
        </w:rPr>
      </w:pPr>
      <w:r w:rsidRPr="3676AEA2" w:rsidR="008334AA">
        <w:rPr>
          <w:rFonts w:ascii="Times New Roman" w:hAnsi="Times New Roman" w:eastAsia="Times New Roman" w:cs="Times New Roman"/>
          <w:i w:val="1"/>
          <w:iCs w:val="1"/>
          <w:color w:val="auto"/>
          <w:sz w:val="22"/>
          <w:szCs w:val="22"/>
        </w:rPr>
        <w:t>Für Klausel 17 wird Option 1 gewählt, wobei der Mitgliedstaat die Niederlande ist.</w:t>
      </w:r>
    </w:p>
    <w:p w:rsidRPr="0040051E" w:rsidR="00334B2A" w:rsidP="3676AEA2" w:rsidRDefault="000A6631" w14:paraId="65A51670" w14:textId="6436EEA4">
      <w:pPr>
        <w:pStyle w:val="Default"/>
        <w:numPr>
          <w:ilvl w:val="6"/>
          <w:numId w:val="32"/>
        </w:numPr>
        <w:spacing w:before="240" w:after="100" w:afterAutospacing="on"/>
        <w:rPr>
          <w:rFonts w:ascii="Times New Roman" w:hAnsi="Times New Roman" w:eastAsia="Times New Roman" w:cs="Times New Roman"/>
          <w:i w:val="1"/>
          <w:iCs w:val="1"/>
          <w:color w:val="auto"/>
          <w:sz w:val="22"/>
          <w:szCs w:val="22"/>
        </w:rPr>
      </w:pPr>
      <w:r w:rsidRPr="3676AEA2" w:rsidR="000A6631">
        <w:rPr>
          <w:rFonts w:ascii="Times New Roman" w:hAnsi="Times New Roman" w:eastAsia="Times New Roman" w:cs="Times New Roman"/>
          <w:i w:val="1"/>
          <w:iCs w:val="1"/>
          <w:color w:val="auto"/>
          <w:sz w:val="22"/>
          <w:szCs w:val="22"/>
        </w:rPr>
        <w:t>Für Klausel 18 ist der Gerichtsstand die Niederlande.</w:t>
      </w:r>
    </w:p>
    <w:p w:rsidRPr="0040051E" w:rsidR="00532D1E" w:rsidP="3676AEA2" w:rsidRDefault="00532D1E" w14:paraId="0CF56E28" w14:textId="77777777">
      <w:pPr>
        <w:pStyle w:val="Default"/>
        <w:spacing w:before="240" w:after="100" w:afterAutospacing="on"/>
        <w:ind w:left="720"/>
        <w:rPr>
          <w:rFonts w:ascii="Times New Roman" w:hAnsi="Times New Roman" w:eastAsia="Times New Roman" w:cs="Times New Roman"/>
          <w:color w:val="auto"/>
          <w:sz w:val="22"/>
          <w:szCs w:val="22"/>
        </w:rPr>
      </w:pPr>
    </w:p>
    <w:p w:rsidRPr="0040051E" w:rsidR="00250A6C" w:rsidP="3676AEA2" w:rsidRDefault="00250A6C" w14:paraId="0BDCF1EC" w14:textId="77777777">
      <w:pPr>
        <w:rPr>
          <w:rFonts w:ascii="Times New Roman" w:hAnsi="Times New Roman" w:eastAsia="Times New Roman" w:cs="Times New Roman"/>
          <w:b w:val="1"/>
          <w:bCs w:val="1"/>
          <w:sz w:val="22"/>
          <w:szCs w:val="22"/>
        </w:rPr>
      </w:pPr>
      <w:r w:rsidRPr="3676AEA2">
        <w:rPr>
          <w:rFonts w:ascii="Times New Roman" w:hAnsi="Times New Roman" w:eastAsia="Times New Roman" w:cs="Times New Roman"/>
          <w:sz w:val="22"/>
          <w:szCs w:val="22"/>
        </w:rPr>
        <w:br w:type="page"/>
      </w:r>
    </w:p>
    <w:p w:rsidRPr="0040051E" w:rsidR="00C947AD" w:rsidP="3676AEA2" w:rsidRDefault="00C947AD" w14:paraId="2B6B2F00" w14:textId="58A4A364">
      <w:pPr>
        <w:pStyle w:val="Default"/>
        <w:spacing w:before="240" w:after="100" w:afterAutospacing="on"/>
        <w:jc w:val="center"/>
        <w:rPr>
          <w:rFonts w:ascii="Times New Roman" w:hAnsi="Times New Roman" w:eastAsia="Times New Roman" w:cs="Times New Roman"/>
          <w:b w:val="1"/>
          <w:bCs w:val="1"/>
          <w:color w:val="auto"/>
          <w:sz w:val="22"/>
          <w:szCs w:val="22"/>
        </w:rPr>
      </w:pPr>
      <w:r w:rsidRPr="3676AEA2" w:rsidR="00C947AD">
        <w:rPr>
          <w:rFonts w:ascii="Times New Roman" w:hAnsi="Times New Roman" w:eastAsia="Times New Roman" w:cs="Times New Roman"/>
          <w:b w:val="1"/>
          <w:bCs w:val="1"/>
          <w:color w:val="auto"/>
          <w:sz w:val="22"/>
          <w:szCs w:val="22"/>
        </w:rPr>
        <w:t>ANHANG 1 ZU ANLAGE 2</w:t>
      </w:r>
    </w:p>
    <w:p w:rsidRPr="0040051E" w:rsidR="00C947AD" w:rsidP="3676AEA2" w:rsidRDefault="00C947AD" w14:paraId="1BCCE0A0" w14:textId="4599476D">
      <w:pPr>
        <w:pStyle w:val="Default"/>
        <w:spacing w:before="240" w:after="100" w:afterAutospacing="on"/>
        <w:rPr>
          <w:rFonts w:ascii="Times New Roman" w:hAnsi="Times New Roman" w:eastAsia="Times New Roman" w:cs="Times New Roman"/>
          <w:b w:val="1"/>
          <w:bCs w:val="1"/>
          <w:color w:val="auto"/>
          <w:sz w:val="22"/>
          <w:szCs w:val="22"/>
        </w:rPr>
      </w:pPr>
      <w:r w:rsidRPr="3676AEA2" w:rsidR="00C947AD">
        <w:rPr>
          <w:rFonts w:ascii="Times New Roman" w:hAnsi="Times New Roman" w:eastAsia="Times New Roman" w:cs="Times New Roman"/>
          <w:b w:val="1"/>
          <w:bCs w:val="1"/>
          <w:color w:val="auto"/>
          <w:sz w:val="22"/>
          <w:szCs w:val="22"/>
        </w:rPr>
        <w:t>A. LISTE DER PARTEIEN</w:t>
      </w:r>
    </w:p>
    <w:p w:rsidRPr="0040051E" w:rsidR="00E2471A" w:rsidP="3676AEA2" w:rsidRDefault="00330ED7" w14:paraId="2BBDAA48" w14:textId="6AEA4465">
      <w:pPr>
        <w:pStyle w:val="Default"/>
        <w:spacing w:before="240" w:after="100" w:afterAutospacing="on"/>
        <w:rPr>
          <w:rFonts w:ascii="Times New Roman" w:hAnsi="Times New Roman" w:eastAsia="Times New Roman" w:cs="Times New Roman"/>
          <w:color w:val="auto"/>
          <w:sz w:val="22"/>
          <w:szCs w:val="22"/>
        </w:rPr>
      </w:pPr>
      <w:r w:rsidRPr="3676AEA2" w:rsidR="00330ED7">
        <w:rPr>
          <w:rFonts w:ascii="Times New Roman" w:hAnsi="Times New Roman" w:eastAsia="Times New Roman" w:cs="Times New Roman"/>
          <w:i w:val="1"/>
          <w:iCs w:val="1"/>
          <w:color w:val="auto"/>
          <w:sz w:val="22"/>
          <w:szCs w:val="22"/>
        </w:rPr>
        <w:t>Siehe Vereinbarung</w:t>
      </w:r>
    </w:p>
    <w:p w:rsidRPr="0040051E" w:rsidR="00E2471A" w:rsidP="3676AEA2" w:rsidRDefault="00E2471A" w14:paraId="1AF5EE9E" w14:textId="77777777">
      <w:pPr>
        <w:pStyle w:val="Default"/>
        <w:spacing w:before="240" w:after="100" w:afterAutospacing="on"/>
        <w:rPr>
          <w:rFonts w:ascii="Times New Roman" w:hAnsi="Times New Roman" w:eastAsia="Times New Roman" w:cs="Times New Roman"/>
          <w:b w:val="1"/>
          <w:bCs w:val="1"/>
          <w:color w:val="auto"/>
          <w:sz w:val="22"/>
          <w:szCs w:val="22"/>
        </w:rPr>
      </w:pPr>
      <w:r w:rsidRPr="3676AEA2" w:rsidR="00E2471A">
        <w:rPr>
          <w:rFonts w:ascii="Times New Roman" w:hAnsi="Times New Roman" w:eastAsia="Times New Roman" w:cs="Times New Roman"/>
          <w:b w:val="1"/>
          <w:bCs w:val="1"/>
          <w:color w:val="auto"/>
          <w:sz w:val="22"/>
          <w:szCs w:val="22"/>
        </w:rPr>
        <w:t>B. BESCHREIBUNG DER ÜBERTRAGUNG</w:t>
      </w:r>
    </w:p>
    <w:p w:rsidRPr="0040051E" w:rsidR="00E2471A" w:rsidP="3676AEA2" w:rsidRDefault="00E2471A" w14:paraId="2027084D" w14:textId="67CFD18D">
      <w:pPr>
        <w:pStyle w:val="Default"/>
        <w:spacing w:before="240" w:after="100" w:afterAutospacing="on"/>
        <w:rPr>
          <w:rFonts w:ascii="Times New Roman" w:hAnsi="Times New Roman" w:eastAsia="Times New Roman" w:cs="Times New Roman"/>
          <w:i w:val="1"/>
          <w:iCs w:val="1"/>
          <w:color w:val="auto"/>
          <w:sz w:val="22"/>
          <w:szCs w:val="22"/>
        </w:rPr>
      </w:pPr>
      <w:r w:rsidRPr="3676AEA2" w:rsidR="00E2471A">
        <w:rPr>
          <w:rFonts w:ascii="Times New Roman" w:hAnsi="Times New Roman" w:eastAsia="Times New Roman" w:cs="Times New Roman"/>
          <w:i w:val="1"/>
          <w:iCs w:val="1"/>
          <w:color w:val="auto"/>
          <w:sz w:val="22"/>
          <w:szCs w:val="22"/>
        </w:rPr>
        <w:t>Siehe Anlage zur Vereinbarung mit dem Titel „Die Datenverarbeitung im Einzelnen“.</w:t>
      </w:r>
    </w:p>
    <w:p w:rsidRPr="0040051E" w:rsidR="00C947AD" w:rsidP="3676AEA2" w:rsidRDefault="00C947AD" w14:paraId="283B1EF1" w14:textId="77777777">
      <w:pPr>
        <w:pStyle w:val="Default"/>
        <w:spacing w:before="240" w:after="100" w:afterAutospacing="on"/>
        <w:rPr>
          <w:rFonts w:ascii="Times New Roman" w:hAnsi="Times New Roman" w:eastAsia="Times New Roman" w:cs="Times New Roman"/>
          <w:color w:val="auto"/>
          <w:sz w:val="22"/>
          <w:szCs w:val="22"/>
          <w:lang w:val="fr-FR"/>
        </w:rPr>
      </w:pPr>
      <w:r w:rsidRPr="3676AEA2" w:rsidR="00C947AD">
        <w:rPr>
          <w:rFonts w:ascii="Times New Roman" w:hAnsi="Times New Roman" w:eastAsia="Times New Roman" w:cs="Times New Roman"/>
          <w:b w:val="1"/>
          <w:bCs w:val="1"/>
          <w:color w:val="auto"/>
          <w:sz w:val="22"/>
          <w:szCs w:val="22"/>
          <w:lang w:val="fr-FR"/>
        </w:rPr>
        <w:t xml:space="preserve">C. ZUSTÄNDIGE AUFSICHTSBEHÖRDE </w:t>
      </w:r>
    </w:p>
    <w:p w:rsidR="230BDA78" w:rsidP="3676AEA2" w:rsidRDefault="230BDA78" w14:paraId="07F582F2" w14:textId="19EF3793">
      <w:pPr>
        <w:spacing w:before="240" w:beforeAutospacing="on" w:after="160"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de-DE"/>
        </w:rPr>
      </w:pPr>
      <w:r w:rsidRPr="3676AEA2" w:rsidR="230BDA78">
        <w:rPr>
          <w:rStyle w:val="Strong"/>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Commission Nationale de </w:t>
      </w:r>
      <w:r w:rsidRPr="3676AEA2" w:rsidR="230BDA78">
        <w:rPr>
          <w:rStyle w:val="Strong"/>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l'Informatique</w:t>
      </w:r>
      <w:r w:rsidRPr="3676AEA2" w:rsidR="230BDA78">
        <w:rPr>
          <w:rStyle w:val="Strong"/>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et des </w:t>
      </w:r>
      <w:r w:rsidRPr="3676AEA2" w:rsidR="230BDA78">
        <w:rPr>
          <w:rStyle w:val="Strong"/>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Libertés</w:t>
      </w:r>
      <w:r w:rsidRPr="3676AEA2" w:rsidR="230BDA78">
        <w:rPr>
          <w:rStyle w:val="Strong"/>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 CNIL</w:t>
      </w:r>
      <w:r>
        <w:br/>
      </w:r>
      <w:r w:rsidRPr="3676AEA2" w:rsidR="230BDA7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3 Place de Fontenoy</w:t>
      </w:r>
    </w:p>
    <w:p w:rsidR="230BDA78" w:rsidP="3676AEA2" w:rsidRDefault="230BDA78" w14:paraId="58C2AF39" w14:textId="4339F305">
      <w:pPr>
        <w:pStyle w:val="Default"/>
        <w:spacing w:before="240" w:beforeAutospacing="on" w:after="160"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676AEA2" w:rsidR="230BDA7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TSA 80715</w:t>
      </w:r>
    </w:p>
    <w:p w:rsidR="230BDA78" w:rsidP="3676AEA2" w:rsidRDefault="230BDA78" w14:paraId="1AF81FFA" w14:textId="02F3805E">
      <w:pPr>
        <w:pStyle w:val="Default"/>
        <w:spacing w:before="240" w:beforeAutospacing="on" w:after="160" w:afterAutospacing="on"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3676AEA2" w:rsidR="230BDA7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75334 PARIS CEDEX 07</w:t>
      </w:r>
      <w:r>
        <w:br/>
      </w:r>
      <w:r w:rsidRPr="3676AEA2" w:rsidR="230BDA7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Tel. +33 1 53 73 22 22</w:t>
      </w:r>
      <w:r>
        <w:br/>
      </w:r>
      <w:r w:rsidRPr="3676AEA2" w:rsidR="230BDA7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Fax +33 1 53 73 22 00</w:t>
      </w:r>
      <w:r>
        <w:br/>
      </w:r>
      <w:r w:rsidRPr="3676AEA2" w:rsidR="230BDA7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Website: </w:t>
      </w:r>
      <w:hyperlink r:id="Rc792ccbc48d0422e">
        <w:r w:rsidRPr="3676AEA2" w:rsidR="230BDA78">
          <w:rPr>
            <w:rStyle w:val="Hyperlink"/>
            <w:rFonts w:ascii="Times New Roman" w:hAnsi="Times New Roman" w:eastAsia="Times New Roman" w:cs="Times New Roman"/>
            <w:b w:val="1"/>
            <w:bCs w:val="1"/>
            <w:i w:val="0"/>
            <w:iCs w:val="0"/>
            <w:caps w:val="0"/>
            <w:smallCaps w:val="0"/>
            <w:strike w:val="0"/>
            <w:dstrike w:val="0"/>
            <w:noProof w:val="0"/>
            <w:sz w:val="22"/>
            <w:szCs w:val="22"/>
            <w:lang w:val="en-US"/>
          </w:rPr>
          <w:t>http://www.cnil.fr/</w:t>
        </w:r>
      </w:hyperlink>
    </w:p>
    <w:p w:rsidR="3CCC66B4" w:rsidP="3676AEA2" w:rsidRDefault="3CCC66B4" w14:paraId="523395F4" w14:textId="0241389C">
      <w:pPr>
        <w:pStyle w:val="Default"/>
        <w:spacing w:before="240" w:afterAutospacing="on"/>
        <w:rPr>
          <w:rFonts w:ascii="Times New Roman" w:hAnsi="Times New Roman" w:eastAsia="Times New Roman" w:cs="Times New Roman"/>
          <w:b w:val="1"/>
          <w:bCs w:val="1"/>
          <w:color w:val="auto"/>
          <w:sz w:val="22"/>
          <w:szCs w:val="22"/>
        </w:rPr>
      </w:pPr>
    </w:p>
    <w:p w:rsidRPr="0040051E" w:rsidR="002477E9" w:rsidP="3676AEA2" w:rsidRDefault="002477E9" w14:paraId="008B8C47" w14:textId="77777777">
      <w:pPr>
        <w:rPr>
          <w:rFonts w:ascii="Times New Roman" w:hAnsi="Times New Roman" w:eastAsia="Times New Roman" w:cs="Times New Roman"/>
          <w:b w:val="1"/>
          <w:bCs w:val="1"/>
          <w:sz w:val="22"/>
          <w:szCs w:val="22"/>
        </w:rPr>
      </w:pPr>
    </w:p>
    <w:p w:rsidR="3CCC66B4" w:rsidP="3676AEA2" w:rsidRDefault="3CCC66B4" w14:paraId="17DC5A42" w14:textId="5BE02409">
      <w:pPr>
        <w:rPr>
          <w:rFonts w:ascii="Times New Roman" w:hAnsi="Times New Roman" w:eastAsia="Times New Roman" w:cs="Times New Roman"/>
          <w:sz w:val="22"/>
          <w:szCs w:val="22"/>
        </w:rPr>
      </w:pPr>
      <w:r w:rsidRPr="3676AEA2">
        <w:rPr>
          <w:rFonts w:ascii="Times New Roman" w:hAnsi="Times New Roman" w:eastAsia="Times New Roman" w:cs="Times New Roman"/>
          <w:sz w:val="22"/>
          <w:szCs w:val="22"/>
        </w:rPr>
        <w:br w:type="page"/>
      </w:r>
    </w:p>
    <w:p w:rsidRPr="0040051E" w:rsidR="00C947AD" w:rsidP="3676AEA2" w:rsidRDefault="00C947AD" w14:paraId="0BC6BE30" w14:textId="640CE284">
      <w:pPr>
        <w:jc w:val="center"/>
        <w:rPr>
          <w:rFonts w:ascii="Times New Roman" w:hAnsi="Times New Roman" w:eastAsia="Times New Roman" w:cs="Times New Roman"/>
          <w:sz w:val="22"/>
          <w:szCs w:val="22"/>
        </w:rPr>
      </w:pPr>
      <w:r w:rsidRPr="3676AEA2" w:rsidR="00C947AD">
        <w:rPr>
          <w:rFonts w:ascii="Times New Roman" w:hAnsi="Times New Roman" w:eastAsia="Times New Roman" w:cs="Times New Roman"/>
          <w:b w:val="1"/>
          <w:bCs w:val="1"/>
          <w:sz w:val="22"/>
          <w:szCs w:val="22"/>
        </w:rPr>
        <w:t>ANHANG 2 ZU ANLAGE 2 – TECHNISCHE UND ORGANISATORISCHE MASSNAHMEN</w:t>
      </w:r>
    </w:p>
    <w:p w:rsidRPr="0040051E" w:rsidR="00C947AD" w:rsidP="3676AEA2" w:rsidRDefault="17D98CB0" w14:paraId="1473E3AB" w14:textId="64B79C70">
      <w:pPr>
        <w:ind w:right="-180"/>
        <w:rPr>
          <w:rFonts w:ascii="Times New Roman" w:hAnsi="Times New Roman" w:eastAsia="Times New Roman" w:cs="Times New Roman"/>
          <w:i w:val="1"/>
          <w:iCs w:val="1"/>
          <w:sz w:val="22"/>
          <w:szCs w:val="22"/>
        </w:rPr>
      </w:pPr>
      <w:r w:rsidRPr="3676AEA2" w:rsidR="17D98CB0">
        <w:rPr>
          <w:rFonts w:ascii="Times New Roman" w:hAnsi="Times New Roman" w:eastAsia="Times New Roman" w:cs="Times New Roman"/>
          <w:color w:val="000000" w:themeColor="text1" w:themeTint="FF" w:themeShade="FF"/>
          <w:sz w:val="22"/>
          <w:szCs w:val="22"/>
        </w:rPr>
        <w:t>Siehe Anhang 1 der DPA, dem diese Klauseln beigefügt sind. Darüber hinaus stellt der Datenimporteur sicher, dass alle personenbezogenen Daten pseudonymisiert und gegebenenfalls verschlüsselt werden. Außerdem garantieren der Datenimporteur und seine verbundenen Unternehmen, wenn sie eine Anfrage von einer Regierungsbehörde in Bezug auf die personenbezogenen Daten erhalten, die Gegenstand dieser</w:t>
      </w:r>
      <w:r w:rsidRPr="3676AEA2" w:rsidR="0040051E">
        <w:rPr>
          <w:rFonts w:ascii="Times New Roman" w:hAnsi="Times New Roman" w:eastAsia="Times New Roman" w:cs="Times New Roman"/>
          <w:color w:val="000000" w:themeColor="text1" w:themeTint="FF" w:themeShade="FF"/>
          <w:sz w:val="22"/>
          <w:szCs w:val="22"/>
        </w:rPr>
        <w:t> </w:t>
      </w:r>
      <w:r w:rsidRPr="3676AEA2" w:rsidR="17D98CB0">
        <w:rPr>
          <w:rFonts w:ascii="Times New Roman" w:hAnsi="Times New Roman" w:eastAsia="Times New Roman" w:cs="Times New Roman"/>
          <w:color w:val="000000" w:themeColor="text1" w:themeTint="FF" w:themeShade="FF"/>
          <w:sz w:val="22"/>
          <w:szCs w:val="22"/>
        </w:rPr>
        <w:t xml:space="preserve">Klauseln sind, dass (i) Zugriffsforderungen von Nachrichtendiensten oder ähnlichen Behörden </w:t>
      </w:r>
      <w:r>
        <w:br/>
      </w:r>
      <w:r w:rsidRPr="3676AEA2" w:rsidR="17D98CB0">
        <w:rPr>
          <w:rFonts w:ascii="Times New Roman" w:hAnsi="Times New Roman" w:eastAsia="Times New Roman" w:cs="Times New Roman"/>
          <w:color w:val="000000" w:themeColor="text1" w:themeTint="FF" w:themeShade="FF"/>
          <w:sz w:val="22"/>
          <w:szCs w:val="22"/>
        </w:rPr>
        <w:t>in</w:t>
      </w:r>
      <w:r w:rsidRPr="3676AEA2" w:rsidR="0040051E">
        <w:rPr>
          <w:rFonts w:ascii="Times New Roman" w:hAnsi="Times New Roman" w:eastAsia="Times New Roman" w:cs="Times New Roman"/>
          <w:color w:val="000000" w:themeColor="text1" w:themeTint="FF" w:themeShade="FF"/>
          <w:sz w:val="22"/>
          <w:szCs w:val="22"/>
        </w:rPr>
        <w:t> </w:t>
      </w:r>
      <w:r w:rsidRPr="3676AEA2" w:rsidR="17D98CB0">
        <w:rPr>
          <w:rFonts w:ascii="Times New Roman" w:hAnsi="Times New Roman" w:eastAsia="Times New Roman" w:cs="Times New Roman"/>
          <w:color w:val="000000" w:themeColor="text1" w:themeTint="FF" w:themeShade="FF"/>
          <w:sz w:val="22"/>
          <w:szCs w:val="22"/>
        </w:rPr>
        <w:t>den USA oder anderswo auf die in Anhang 1B beschriebenen personenbezogenen Daten und (ii) jede „Offenlegungsplicht</w:t>
      </w:r>
      <w:r w:rsidRPr="3676AEA2" w:rsidR="002173FD">
        <w:rPr>
          <w:rFonts w:ascii="Times New Roman" w:hAnsi="Times New Roman" w:eastAsia="Times New Roman" w:cs="Times New Roman"/>
          <w:color w:val="000000" w:themeColor="text1" w:themeTint="FF" w:themeShade="FF"/>
          <w:sz w:val="22"/>
          <w:szCs w:val="22"/>
        </w:rPr>
        <w:t>“</w:t>
      </w:r>
      <w:r w:rsidRPr="3676AEA2" w:rsidR="17D98CB0">
        <w:rPr>
          <w:rFonts w:ascii="Times New Roman" w:hAnsi="Times New Roman" w:eastAsia="Times New Roman" w:cs="Times New Roman"/>
          <w:color w:val="000000" w:themeColor="text1" w:themeTint="FF" w:themeShade="FF"/>
          <w:sz w:val="22"/>
          <w:szCs w:val="22"/>
        </w:rPr>
        <w:t xml:space="preserve"> betreffend diese Daten vom Datenimporteur und seinen verbundenen Unternehmen in</w:t>
      </w:r>
      <w:r w:rsidRPr="3676AEA2" w:rsidR="0040051E">
        <w:rPr>
          <w:rFonts w:ascii="Times New Roman" w:hAnsi="Times New Roman" w:eastAsia="Times New Roman" w:cs="Times New Roman"/>
          <w:color w:val="000000" w:themeColor="text1" w:themeTint="FF" w:themeShade="FF"/>
          <w:sz w:val="22"/>
          <w:szCs w:val="22"/>
        </w:rPr>
        <w:t> </w:t>
      </w:r>
      <w:r w:rsidRPr="3676AEA2" w:rsidR="17D98CB0">
        <w:rPr>
          <w:rFonts w:ascii="Times New Roman" w:hAnsi="Times New Roman" w:eastAsia="Times New Roman" w:cs="Times New Roman"/>
          <w:color w:val="000000" w:themeColor="text1" w:themeTint="FF" w:themeShade="FF"/>
          <w:sz w:val="22"/>
          <w:szCs w:val="22"/>
        </w:rPr>
        <w:t>Übereinstimmung mit den geltenden Gesetzen und Vorschriften vor der Extraktion angefochten werden.</w:t>
      </w:r>
      <w:r w:rsidRPr="3676AEA2" w:rsidR="17D98CB0">
        <w:rPr>
          <w:rFonts w:ascii="Times New Roman" w:hAnsi="Times New Roman" w:eastAsia="Times New Roman" w:cs="Times New Roman"/>
          <w:i w:val="1"/>
          <w:iCs w:val="1"/>
          <w:sz w:val="22"/>
          <w:szCs w:val="22"/>
        </w:rPr>
        <w:t xml:space="preserve"> </w:t>
      </w:r>
    </w:p>
    <w:p w:rsidRPr="0040051E" w:rsidR="002477E9" w:rsidP="3676AEA2" w:rsidRDefault="002477E9" w14:paraId="7590D60A" w14:textId="77777777">
      <w:pPr>
        <w:rPr>
          <w:rFonts w:ascii="Times New Roman" w:hAnsi="Times New Roman" w:eastAsia="Times New Roman" w:cs="Times New Roman"/>
          <w:b w:val="1"/>
          <w:bCs w:val="1"/>
          <w:sz w:val="22"/>
          <w:szCs w:val="22"/>
        </w:rPr>
      </w:pPr>
    </w:p>
    <w:p w:rsidRPr="0040051E" w:rsidR="00C947AD" w:rsidP="3676AEA2" w:rsidRDefault="00C947AD" w14:paraId="3CF1C474" w14:textId="7E617B37">
      <w:pPr>
        <w:pStyle w:val="Default"/>
        <w:spacing w:before="240" w:after="100" w:afterAutospacing="on"/>
        <w:jc w:val="center"/>
        <w:rPr>
          <w:rFonts w:ascii="Times New Roman" w:hAnsi="Times New Roman" w:eastAsia="Times New Roman" w:cs="Times New Roman"/>
          <w:b w:val="1"/>
          <w:bCs w:val="1"/>
          <w:color w:val="auto"/>
          <w:sz w:val="22"/>
          <w:szCs w:val="22"/>
        </w:rPr>
      </w:pPr>
      <w:r w:rsidRPr="3676AEA2" w:rsidR="00C947AD">
        <w:rPr>
          <w:rFonts w:ascii="Times New Roman" w:hAnsi="Times New Roman" w:eastAsia="Times New Roman" w:cs="Times New Roman"/>
          <w:b w:val="1"/>
          <w:bCs w:val="1"/>
          <w:color w:val="auto"/>
          <w:sz w:val="22"/>
          <w:szCs w:val="22"/>
        </w:rPr>
        <w:t>ANHANG 3 ZU ANLAGE 2 – LISTE DER UNTERVERARBEITER</w:t>
      </w:r>
    </w:p>
    <w:p w:rsidRPr="0040051E" w:rsidR="004C7931" w:rsidP="3676AEA2" w:rsidRDefault="008E7F8B" w14:paraId="40F1A614" w14:textId="1BD46ED7">
      <w:pPr>
        <w:pStyle w:val="Default"/>
        <w:rPr>
          <w:rStyle w:val="CommentReference"/>
          <w:rFonts w:ascii="Times New Roman" w:hAnsi="Times New Roman" w:eastAsia="Times New Roman" w:cs="Times New Roman"/>
          <w:sz w:val="22"/>
          <w:szCs w:val="22"/>
        </w:rPr>
      </w:pPr>
      <w:r w:rsidRPr="3676AEA2" w:rsidR="008E7F8B">
        <w:rPr>
          <w:rFonts w:ascii="Times New Roman" w:hAnsi="Times New Roman" w:eastAsia="Times New Roman" w:cs="Times New Roman"/>
          <w:i w:val="1"/>
          <w:iCs w:val="1"/>
          <w:color w:val="auto"/>
          <w:sz w:val="22"/>
          <w:szCs w:val="22"/>
        </w:rPr>
        <w:t>Siehe Anlage zur Vereinbarung mit dem Titel „Die Datenverarbeitung im Einzelnen“</w:t>
      </w:r>
      <w:r w:rsidRPr="3676AEA2" w:rsidR="008E7F8B">
        <w:rPr>
          <w:rFonts w:ascii="Times New Roman" w:hAnsi="Times New Roman" w:eastAsia="Times New Roman" w:cs="Times New Roman"/>
          <w:color w:val="auto"/>
          <w:sz w:val="22"/>
          <w:szCs w:val="22"/>
        </w:rPr>
        <w:t>.</w:t>
      </w:r>
      <w:bookmarkStart w:name="_Hlk98925256" w:id="40"/>
    </w:p>
    <w:p w:rsidRPr="0040051E" w:rsidR="004C7931" w:rsidP="3676AEA2" w:rsidRDefault="004C7931" w14:paraId="5C17F8E8" w14:textId="77777777">
      <w:pPr>
        <w:rPr>
          <w:rFonts w:ascii="Times New Roman" w:hAnsi="Times New Roman" w:eastAsia="Times New Roman" w:cs="Times New Roman"/>
          <w:b w:val="1"/>
          <w:bCs w:val="1"/>
          <w:noProof/>
          <w:color w:val="000000" w:themeColor="text1"/>
          <w:sz w:val="22"/>
          <w:szCs w:val="22"/>
        </w:rPr>
      </w:pPr>
      <w:r w:rsidRPr="3676AEA2">
        <w:rPr>
          <w:rFonts w:ascii="Times New Roman" w:hAnsi="Times New Roman" w:eastAsia="Times New Roman" w:cs="Times New Roman"/>
          <w:sz w:val="22"/>
          <w:szCs w:val="22"/>
        </w:rPr>
        <w:br w:type="page"/>
      </w:r>
    </w:p>
    <w:p w:rsidRPr="0040051E" w:rsidR="00913D12" w:rsidP="3676AEA2" w:rsidRDefault="0039653C" w14:paraId="60494E29" w14:textId="77777777">
      <w:pPr>
        <w:pStyle w:val="Default"/>
        <w:jc w:val="center"/>
        <w:rPr>
          <w:rFonts w:ascii="Times New Roman" w:hAnsi="Times New Roman" w:eastAsia="Times New Roman" w:cs="Times New Roman"/>
          <w:b w:val="1"/>
          <w:bCs w:val="1"/>
          <w:noProof/>
          <w:sz w:val="22"/>
          <w:szCs w:val="22"/>
        </w:rPr>
      </w:pPr>
      <w:r w:rsidRPr="3676AEA2" w:rsidR="0039653C">
        <w:rPr>
          <w:rFonts w:ascii="Times New Roman" w:hAnsi="Times New Roman" w:eastAsia="Times New Roman" w:cs="Times New Roman"/>
          <w:b w:val="1"/>
          <w:bCs w:val="1"/>
          <w:sz w:val="22"/>
          <w:szCs w:val="22"/>
        </w:rPr>
        <w:t>ANHANG 3</w:t>
      </w:r>
    </w:p>
    <w:p w:rsidRPr="0040051E" w:rsidR="00B44DD5" w:rsidP="3676AEA2" w:rsidRDefault="00577F32" w14:paraId="3DA2E4F0" w14:textId="78BD5931">
      <w:pPr>
        <w:pStyle w:val="Default"/>
        <w:jc w:val="center"/>
        <w:rPr>
          <w:rFonts w:ascii="Times New Roman" w:hAnsi="Times New Roman" w:eastAsia="Times New Roman" w:cs="Times New Roman"/>
          <w:b w:val="1"/>
          <w:bCs w:val="1"/>
          <w:noProof/>
          <w:sz w:val="22"/>
          <w:szCs w:val="22"/>
        </w:rPr>
      </w:pPr>
      <w:r w:rsidRPr="3676AEA2" w:rsidR="00577F32">
        <w:rPr>
          <w:rFonts w:ascii="Times New Roman" w:hAnsi="Times New Roman" w:eastAsia="Times New Roman" w:cs="Times New Roman"/>
          <w:b w:val="1"/>
          <w:bCs w:val="1"/>
          <w:sz w:val="22"/>
          <w:szCs w:val="22"/>
        </w:rPr>
        <w:t>Zusätzliche gesetzliche Anforderungen auf Staats-, Landes-, Regional- und Provinzebene</w:t>
      </w:r>
    </w:p>
    <w:p w:rsidRPr="0040051E" w:rsidR="00B812C6" w:rsidP="3676AEA2" w:rsidRDefault="00B812C6" w14:paraId="2E0E3772" w14:textId="77777777">
      <w:pPr>
        <w:pStyle w:val="Default"/>
        <w:jc w:val="center"/>
        <w:rPr>
          <w:rFonts w:ascii="Times New Roman" w:hAnsi="Times New Roman" w:eastAsia="Times New Roman" w:cs="Times New Roman"/>
          <w:b w:val="1"/>
          <w:bCs w:val="1"/>
          <w:noProof/>
          <w:sz w:val="22"/>
          <w:szCs w:val="22"/>
        </w:rPr>
      </w:pPr>
    </w:p>
    <w:p w:rsidRPr="0040051E" w:rsidR="0039653C" w:rsidP="3676AEA2" w:rsidRDefault="0039653C" w14:paraId="1EBF2BB0" w14:textId="0DC13F19">
      <w:pPr>
        <w:spacing w:before="120" w:after="120" w:line="240" w:lineRule="auto"/>
        <w:rPr>
          <w:rFonts w:ascii="Times New Roman" w:hAnsi="Times New Roman" w:eastAsia="Times New Roman" w:cs="Times New Roman"/>
          <w:b w:val="1"/>
          <w:bCs w:val="1"/>
          <w:noProof/>
          <w:sz w:val="22"/>
          <w:szCs w:val="22"/>
        </w:rPr>
      </w:pPr>
      <w:r w:rsidRPr="3676AEA2" w:rsidR="0039653C">
        <w:rPr>
          <w:rFonts w:ascii="Times New Roman" w:hAnsi="Times New Roman" w:eastAsia="Times New Roman" w:cs="Times New Roman"/>
          <w:b w:val="1"/>
          <w:bCs w:val="1"/>
          <w:sz w:val="22"/>
          <w:szCs w:val="22"/>
        </w:rPr>
        <w:t xml:space="preserve">ERGÄNZUNG FÜR DAS VEREINIGTE KÖNIGREICH: Data </w:t>
      </w:r>
      <w:r w:rsidRPr="3676AEA2" w:rsidR="0039653C">
        <w:rPr>
          <w:rFonts w:ascii="Times New Roman" w:hAnsi="Times New Roman" w:eastAsia="Times New Roman" w:cs="Times New Roman"/>
          <w:b w:val="1"/>
          <w:bCs w:val="1"/>
          <w:sz w:val="22"/>
          <w:szCs w:val="22"/>
        </w:rPr>
        <w:t>Protection</w:t>
      </w:r>
      <w:r w:rsidRPr="3676AEA2" w:rsidR="0039653C">
        <w:rPr>
          <w:rFonts w:ascii="Times New Roman" w:hAnsi="Times New Roman" w:eastAsia="Times New Roman" w:cs="Times New Roman"/>
          <w:b w:val="1"/>
          <w:bCs w:val="1"/>
          <w:sz w:val="22"/>
          <w:szCs w:val="22"/>
        </w:rPr>
        <w:t xml:space="preserve"> Act 2018</w:t>
      </w:r>
    </w:p>
    <w:p w:rsidRPr="0040051E" w:rsidR="003E4EE0" w:rsidP="3676AEA2" w:rsidRDefault="0039653C" w14:paraId="48AFB53B" w14:textId="07F245D5">
      <w:pPr>
        <w:spacing w:before="120" w:after="120" w:line="240" w:lineRule="auto"/>
        <w:rPr>
          <w:rFonts w:ascii="Times New Roman" w:hAnsi="Times New Roman" w:eastAsia="Times New Roman" w:cs="Times New Roman"/>
          <w:sz w:val="22"/>
          <w:szCs w:val="22"/>
        </w:rPr>
      </w:pPr>
      <w:r w:rsidRPr="3676AEA2" w:rsidR="0039653C">
        <w:rPr>
          <w:rFonts w:ascii="Times New Roman" w:hAnsi="Times New Roman" w:eastAsia="Times New Roman" w:cs="Times New Roman"/>
          <w:sz w:val="22"/>
          <w:szCs w:val="22"/>
        </w:rPr>
        <w:t>Dieser Anhang 3 enthält hiermit durch Verweis das Addendum für den internationalen Datentransfer zu den Standardvertragsklauseln der EU-Kommission, Version B1.0, in der Fassung vom 21. März 2022, und gilt als von allen Vertragsparteien vollständig ausgeführt, so dass alle anwendbaren Übermittlungen gemäß der DPA abgedeckt sind, einschließlich aller obligatorischen Klauseln von Teil 2.</w:t>
      </w:r>
    </w:p>
    <w:p w:rsidRPr="0040051E" w:rsidR="00FA6CFE" w:rsidP="3676AEA2" w:rsidRDefault="00FA6CFE" w14:paraId="195636D9" w14:textId="77777777">
      <w:pPr>
        <w:spacing w:before="120" w:after="120" w:line="240" w:lineRule="auto"/>
        <w:rPr>
          <w:rStyle w:val="CommentReference"/>
          <w:rFonts w:ascii="Times New Roman" w:hAnsi="Times New Roman" w:eastAsia="Times New Roman" w:cs="Times New Roman"/>
          <w:sz w:val="22"/>
          <w:szCs w:val="22"/>
        </w:rPr>
      </w:pPr>
    </w:p>
    <w:p w:rsidRPr="0040051E" w:rsidR="19D18B1B" w:rsidP="3676AEA2" w:rsidRDefault="002C6459" w14:paraId="73F65705" w14:textId="74CDB8A5">
      <w:pPr>
        <w:spacing w:before="120" w:after="120" w:line="240" w:lineRule="auto"/>
        <w:rPr>
          <w:rStyle w:val="CommentReference"/>
          <w:rFonts w:ascii="Times New Roman" w:hAnsi="Times New Roman" w:eastAsia="Times New Roman" w:cs="Times New Roman"/>
          <w:b w:val="1"/>
          <w:bCs w:val="1"/>
          <w:sz w:val="22"/>
          <w:szCs w:val="22"/>
        </w:rPr>
      </w:pPr>
      <w:r w:rsidRPr="3676AEA2" w:rsidR="002C6459">
        <w:rPr>
          <w:rStyle w:val="CommentReference"/>
          <w:rFonts w:ascii="Times New Roman" w:hAnsi="Times New Roman" w:eastAsia="Times New Roman" w:cs="Times New Roman"/>
          <w:b w:val="1"/>
          <w:bCs w:val="1"/>
          <w:sz w:val="22"/>
          <w:szCs w:val="22"/>
        </w:rPr>
        <w:t>ERGÄNZUNG FÜR DIE SCHWEIZ: FADP</w:t>
      </w:r>
    </w:p>
    <w:p w:rsidRPr="0040051E" w:rsidR="002C6459" w:rsidP="3676AEA2" w:rsidRDefault="002C6459" w14:paraId="7EB6BD3B" w14:textId="244E0F72">
      <w:pPr>
        <w:pStyle w:val="ListParagraph"/>
        <w:numPr>
          <w:ilvl w:val="0"/>
          <w:numId w:val="28"/>
        </w:numPr>
        <w:spacing w:before="120" w:after="120"/>
        <w:rPr>
          <w:rFonts w:ascii="Times New Roman" w:hAnsi="Times New Roman" w:eastAsia="Times New Roman" w:cs="Times New Roman"/>
          <w:spacing w:val="-2"/>
          <w:sz w:val="22"/>
          <w:szCs w:val="22"/>
        </w:rPr>
      </w:pPr>
      <w:r w:rsidRPr="3676AEA2" w:rsidR="002C6459">
        <w:rPr>
          <w:rFonts w:ascii="Times New Roman" w:hAnsi="Times New Roman" w:eastAsia="Times New Roman" w:cs="Times New Roman"/>
          <w:spacing w:val="-2"/>
          <w:sz w:val="22"/>
          <w:szCs w:val="22"/>
        </w:rPr>
        <w:t>Soweit die in Anhang 2 beschriebenen Datenübermittlungen dem DSG unterliegen, sind Verweise auf die DSGVO als Verweise auf das Schweizer Bundesdatenschutzgesetz („DSG</w:t>
      </w:r>
      <w:r w:rsidRPr="3676AEA2" w:rsidR="002173FD">
        <w:rPr>
          <w:rFonts w:ascii="Times New Roman" w:hAnsi="Times New Roman" w:eastAsia="Times New Roman" w:cs="Times New Roman"/>
          <w:spacing w:val="-2"/>
          <w:sz w:val="22"/>
          <w:szCs w:val="22"/>
        </w:rPr>
        <w:t>“</w:t>
      </w:r>
      <w:r w:rsidRPr="3676AEA2" w:rsidR="002C6459">
        <w:rPr>
          <w:rFonts w:ascii="Times New Roman" w:hAnsi="Times New Roman" w:eastAsia="Times New Roman" w:cs="Times New Roman"/>
          <w:spacing w:val="-2"/>
          <w:sz w:val="22"/>
          <w:szCs w:val="22"/>
        </w:rPr>
        <w:t>) zu verstehen.</w:t>
      </w:r>
    </w:p>
    <w:p w:rsidRPr="0040051E" w:rsidR="002C6459" w:rsidP="3676AEA2" w:rsidRDefault="002C6459" w14:paraId="4386783E" w14:textId="65E37F23">
      <w:pPr>
        <w:pStyle w:val="ListParagraph"/>
        <w:numPr>
          <w:ilvl w:val="0"/>
          <w:numId w:val="28"/>
        </w:numPr>
        <w:spacing w:before="120" w:after="120"/>
        <w:rPr>
          <w:rFonts w:ascii="Times New Roman" w:hAnsi="Times New Roman" w:eastAsia="Times New Roman" w:cs="Times New Roman"/>
          <w:sz w:val="22"/>
          <w:szCs w:val="22"/>
        </w:rPr>
      </w:pPr>
      <w:r w:rsidRPr="3676AEA2" w:rsidR="002C6459">
        <w:rPr>
          <w:rFonts w:ascii="Times New Roman" w:hAnsi="Times New Roman" w:eastAsia="Times New Roman" w:cs="Times New Roman"/>
          <w:sz w:val="22"/>
          <w:szCs w:val="22"/>
        </w:rPr>
        <w:t>Solange das DSG dies vorschreibt, werden die personenbezogenen Daten juristischer Personen im</w:t>
      </w:r>
      <w:r w:rsidRPr="3676AEA2" w:rsidR="0040051E">
        <w:rPr>
          <w:rFonts w:ascii="Times New Roman" w:hAnsi="Times New Roman" w:eastAsia="Times New Roman" w:cs="Times New Roman"/>
          <w:sz w:val="22"/>
          <w:szCs w:val="22"/>
        </w:rPr>
        <w:t> </w:t>
      </w:r>
      <w:r w:rsidRPr="3676AEA2" w:rsidR="002C6459">
        <w:rPr>
          <w:rFonts w:ascii="Times New Roman" w:hAnsi="Times New Roman" w:eastAsia="Times New Roman" w:cs="Times New Roman"/>
          <w:sz w:val="22"/>
          <w:szCs w:val="22"/>
        </w:rPr>
        <w:t>Sinne dieser Klauseln in gleicher Weise geschützt wie natürliche Personen, die betroffene Personen sind.</w:t>
      </w:r>
    </w:p>
    <w:p w:rsidRPr="0040051E" w:rsidR="002C6459" w:rsidP="3676AEA2" w:rsidRDefault="002C6459" w14:paraId="18BFCD73" w14:textId="1996FCA0">
      <w:pPr>
        <w:pStyle w:val="ListParagraph"/>
        <w:numPr>
          <w:ilvl w:val="0"/>
          <w:numId w:val="28"/>
        </w:numPr>
        <w:spacing w:before="120" w:after="120"/>
        <w:rPr>
          <w:rFonts w:ascii="Times New Roman" w:hAnsi="Times New Roman" w:eastAsia="Times New Roman" w:cs="Times New Roman"/>
          <w:sz w:val="22"/>
          <w:szCs w:val="22"/>
        </w:rPr>
      </w:pPr>
      <w:r w:rsidRPr="3676AEA2" w:rsidR="002C6459">
        <w:rPr>
          <w:rFonts w:ascii="Times New Roman" w:hAnsi="Times New Roman" w:eastAsia="Times New Roman" w:cs="Times New Roman"/>
          <w:sz w:val="22"/>
          <w:szCs w:val="22"/>
        </w:rPr>
        <w:t>Klausel 13: Parallele Aufsicht</w:t>
      </w:r>
    </w:p>
    <w:p w:rsidRPr="0040051E" w:rsidR="002C6459" w:rsidP="3676AEA2" w:rsidRDefault="002C6459" w14:paraId="11396FF9" w14:textId="50CCA5E9">
      <w:pPr>
        <w:pStyle w:val="ListParagraph"/>
        <w:numPr>
          <w:ilvl w:val="1"/>
          <w:numId w:val="28"/>
        </w:numPr>
        <w:spacing w:before="120" w:after="120"/>
        <w:rPr>
          <w:rFonts w:ascii="Times New Roman" w:hAnsi="Times New Roman" w:eastAsia="Times New Roman" w:cs="Times New Roman"/>
          <w:sz w:val="22"/>
          <w:szCs w:val="22"/>
        </w:rPr>
      </w:pPr>
      <w:r w:rsidRPr="3676AEA2" w:rsidR="002C6459">
        <w:rPr>
          <w:rFonts w:ascii="Times New Roman" w:hAnsi="Times New Roman" w:eastAsia="Times New Roman" w:cs="Times New Roman"/>
          <w:sz w:val="22"/>
          <w:szCs w:val="22"/>
        </w:rPr>
        <w:t>Sofern die Datenübermittlung durch das DSG geregelt ist: ist der Eidgenössische Datenschutz- und Öffentlichkeitsbeauftragte („EDÖB</w:t>
      </w:r>
      <w:r w:rsidRPr="3676AEA2" w:rsidR="002173FD">
        <w:rPr>
          <w:rFonts w:ascii="Times New Roman" w:hAnsi="Times New Roman" w:eastAsia="Times New Roman" w:cs="Times New Roman"/>
          <w:sz w:val="22"/>
          <w:szCs w:val="22"/>
        </w:rPr>
        <w:t>“</w:t>
      </w:r>
      <w:r w:rsidRPr="3676AEA2" w:rsidR="002C6459">
        <w:rPr>
          <w:rFonts w:ascii="Times New Roman" w:hAnsi="Times New Roman" w:eastAsia="Times New Roman" w:cs="Times New Roman"/>
          <w:sz w:val="22"/>
          <w:szCs w:val="22"/>
        </w:rPr>
        <w:t>) die zuständige Aufsichtsbehörde;</w:t>
      </w:r>
    </w:p>
    <w:p w:rsidRPr="0040051E" w:rsidR="002C6459" w:rsidP="3676AEA2" w:rsidRDefault="002C6459" w14:paraId="638969F6" w14:textId="77777777">
      <w:pPr>
        <w:pStyle w:val="ListParagraph"/>
        <w:numPr>
          <w:ilvl w:val="1"/>
          <w:numId w:val="28"/>
        </w:numPr>
        <w:spacing w:before="120" w:after="120"/>
        <w:rPr>
          <w:rFonts w:ascii="Times New Roman" w:hAnsi="Times New Roman" w:eastAsia="Times New Roman" w:cs="Times New Roman"/>
          <w:sz w:val="22"/>
          <w:szCs w:val="22"/>
        </w:rPr>
      </w:pPr>
      <w:r w:rsidRPr="3676AEA2" w:rsidR="002C6459">
        <w:rPr>
          <w:rFonts w:ascii="Times New Roman" w:hAnsi="Times New Roman" w:eastAsia="Times New Roman" w:cs="Times New Roman"/>
          <w:sz w:val="22"/>
          <w:szCs w:val="22"/>
        </w:rPr>
        <w:t>Sofern die Datenübermittlung durch die DSGVO geregelt ist: gelten die Kriterien von Klausel 13(a).</w:t>
      </w:r>
    </w:p>
    <w:p w:rsidRPr="0040051E" w:rsidR="002C6459" w:rsidP="3676AEA2" w:rsidRDefault="002C6459" w14:paraId="29B2FFA6" w14:textId="63FD5A39">
      <w:pPr>
        <w:pStyle w:val="ListParagraph"/>
        <w:numPr>
          <w:ilvl w:val="0"/>
          <w:numId w:val="28"/>
        </w:numPr>
        <w:spacing w:before="120" w:after="120"/>
        <w:rPr>
          <w:rFonts w:ascii="Times New Roman" w:hAnsi="Times New Roman" w:eastAsia="Times New Roman" w:cs="Times New Roman"/>
          <w:sz w:val="22"/>
          <w:szCs w:val="22"/>
        </w:rPr>
      </w:pPr>
      <w:r w:rsidRPr="3676AEA2" w:rsidR="002C6459">
        <w:rPr>
          <w:rFonts w:ascii="Times New Roman" w:hAnsi="Times New Roman" w:eastAsia="Times New Roman" w:cs="Times New Roman"/>
          <w:sz w:val="22"/>
          <w:szCs w:val="22"/>
        </w:rPr>
        <w:t>Klausel 18(c): Wahl des Gerichtsstands und der Gerichtsbarkeit: Eine betroffene Person, die ihren gewöhnlichen Aufenthalt in der Schweiz hat, kann auch vor den Gerichten der Schweiz gegen den Datenexporteur und/oder Datenimporteur Klage erheben.</w:t>
      </w:r>
    </w:p>
    <w:p w:rsidRPr="0040051E" w:rsidR="003E4EE0" w:rsidP="3676AEA2" w:rsidRDefault="003E4EE0" w14:paraId="097B1D5F" w14:textId="77777777">
      <w:pPr>
        <w:pStyle w:val="ListParagraph"/>
        <w:spacing w:before="120" w:after="120"/>
        <w:rPr>
          <w:rFonts w:ascii="Times New Roman" w:hAnsi="Times New Roman" w:eastAsia="Times New Roman" w:cs="Times New Roman"/>
          <w:sz w:val="22"/>
          <w:szCs w:val="22"/>
        </w:rPr>
      </w:pPr>
    </w:p>
    <w:bookmarkEnd w:id="40"/>
    <w:p w:rsidRPr="0040051E" w:rsidR="00D05447" w:rsidP="3676AEA2" w:rsidRDefault="009859E1" w14:paraId="5958A5A9" w14:textId="2876B2C9">
      <w:pPr>
        <w:spacing w:before="120" w:after="120" w:line="240" w:lineRule="auto"/>
        <w:rPr>
          <w:rStyle w:val="CommentReference"/>
          <w:rFonts w:ascii="Times New Roman" w:hAnsi="Times New Roman" w:eastAsia="Times New Roman" w:cs="Times New Roman"/>
          <w:b w:val="1"/>
          <w:bCs w:val="1"/>
          <w:sz w:val="22"/>
          <w:szCs w:val="22"/>
        </w:rPr>
      </w:pPr>
      <w:r w:rsidRPr="3676AEA2" w:rsidR="009859E1">
        <w:rPr>
          <w:rStyle w:val="CommentReference"/>
          <w:rFonts w:ascii="Times New Roman" w:hAnsi="Times New Roman" w:eastAsia="Times New Roman" w:cs="Times New Roman"/>
          <w:b w:val="1"/>
          <w:bCs w:val="1"/>
          <w:sz w:val="22"/>
          <w:szCs w:val="22"/>
        </w:rPr>
        <w:t>ERGÄNZUNG FÜR KANADA: Quebec Law 25</w:t>
      </w:r>
    </w:p>
    <w:p w:rsidRPr="0040051E" w:rsidR="00D329A7" w:rsidP="3676AEA2" w:rsidRDefault="00410986" w14:paraId="19BA6225" w14:textId="325785AB">
      <w:pPr>
        <w:pStyle w:val="ListParagraph"/>
        <w:numPr>
          <w:ilvl w:val="3"/>
          <w:numId w:val="28"/>
        </w:numPr>
        <w:spacing w:before="120" w:after="120"/>
        <w:rPr>
          <w:rStyle w:val="CommentReference"/>
          <w:rFonts w:ascii="Times New Roman" w:hAnsi="Times New Roman" w:eastAsia="Times New Roman" w:cs="Times New Roman"/>
          <w:sz w:val="22"/>
          <w:szCs w:val="22"/>
        </w:rPr>
      </w:pPr>
      <w:r w:rsidRPr="3676AEA2" w:rsidR="00410986">
        <w:rPr>
          <w:rStyle w:val="CommentReference"/>
          <w:rFonts w:ascii="Times New Roman" w:hAnsi="Times New Roman" w:eastAsia="Times New Roman" w:cs="Times New Roman"/>
          <w:sz w:val="22"/>
          <w:szCs w:val="22"/>
        </w:rPr>
        <w:t xml:space="preserve">Jeder Abschnitt dieser DPA, der sicherstellt, dass der Anbieter personenbezogene Daten nur in Übereinstimmung mit den dokumentierten Anweisungen des Unternehmens verarbeitet, ist so auszulegen, dass er auch jeden Versuch verbietet, personenbezogene Daten zu anonymisieren, zusammenzufassen oder anderweitig so zu verändern, dass sie keine Informationen mehr darstellen oder enthalten, die sich auf eine identifizierte oder identifizierbare betroffene Person beziehen, es sei denn, dies ist erforderlich, um die Dienstleistungen für das Unternehmen zu erbringen, oder wurde vom Unternehmen ausdrücklich schriftlich genehmigt. </w:t>
      </w:r>
    </w:p>
    <w:p w:rsidRPr="0040051E" w:rsidR="00B812C6" w:rsidP="3676AEA2" w:rsidRDefault="00B812C6" w14:paraId="0CF4A14E" w14:textId="77777777">
      <w:pPr>
        <w:pStyle w:val="ListParagraph"/>
        <w:spacing w:before="120" w:after="120"/>
        <w:rPr>
          <w:rStyle w:val="CommentReference"/>
          <w:rFonts w:ascii="Times New Roman" w:hAnsi="Times New Roman" w:eastAsia="Times New Roman" w:cs="Times New Roman"/>
          <w:sz w:val="22"/>
          <w:szCs w:val="22"/>
        </w:rPr>
      </w:pPr>
    </w:p>
    <w:p w:rsidRPr="0040051E" w:rsidR="00661C29" w:rsidP="3676AEA2" w:rsidRDefault="00F8318C" w14:paraId="3591324E" w14:textId="57F0EDE0">
      <w:pPr>
        <w:pStyle w:val="ListParagraph"/>
        <w:numPr>
          <w:ilvl w:val="3"/>
          <w:numId w:val="28"/>
        </w:numPr>
        <w:spacing w:before="120" w:after="120"/>
        <w:rPr>
          <w:rStyle w:val="CommentReference"/>
          <w:rFonts w:ascii="Times New Roman" w:hAnsi="Times New Roman" w:eastAsia="Times New Roman" w:cs="Times New Roman"/>
          <w:sz w:val="22"/>
          <w:szCs w:val="22"/>
        </w:rPr>
      </w:pPr>
      <w:r w:rsidRPr="3676AEA2" w:rsidR="00F8318C">
        <w:rPr>
          <w:rStyle w:val="CommentReference"/>
          <w:rFonts w:ascii="Times New Roman" w:hAnsi="Times New Roman" w:eastAsia="Times New Roman" w:cs="Times New Roman"/>
          <w:sz w:val="22"/>
          <w:szCs w:val="22"/>
        </w:rPr>
        <w:t>Jede Mitteilung, die gemäß dieser DPA in Bezug auf eine Verletzung des Schutzes personenbezogener Daten erforderlich ist, und jede ähnliche Mitteilung, die gemäß der Vereinbarung erforderlich ist, ist auch für jedes Ereignis erforderlich, das eine Verletzung oder</w:t>
      </w:r>
      <w:r w:rsidRPr="3676AEA2" w:rsidR="0040051E">
        <w:rPr>
          <w:rStyle w:val="CommentReference"/>
          <w:rFonts w:ascii="Times New Roman" w:hAnsi="Times New Roman" w:eastAsia="Times New Roman" w:cs="Times New Roman"/>
          <w:sz w:val="22"/>
          <w:szCs w:val="22"/>
        </w:rPr>
        <w:t> </w:t>
      </w:r>
      <w:r w:rsidRPr="3676AEA2" w:rsidR="00F8318C">
        <w:rPr>
          <w:rStyle w:val="CommentReference"/>
          <w:rFonts w:ascii="Times New Roman" w:hAnsi="Times New Roman" w:eastAsia="Times New Roman" w:cs="Times New Roman"/>
          <w:sz w:val="22"/>
          <w:szCs w:val="22"/>
        </w:rPr>
        <w:t>versuchte Verletzung dieser DPA durch den Anbieter darstellt.</w:t>
      </w:r>
    </w:p>
    <w:p w:rsidRPr="0040051E" w:rsidR="00F60F47" w:rsidP="3676AEA2" w:rsidRDefault="00FB27CE" w14:paraId="4B81CD2C" w14:textId="77DF7076">
      <w:pPr>
        <w:pStyle w:val="ListParagraph"/>
        <w:numPr>
          <w:ilvl w:val="3"/>
          <w:numId w:val="28"/>
        </w:numPr>
        <w:spacing w:before="120" w:after="120"/>
        <w:rPr>
          <w:rStyle w:val="CommentReference"/>
          <w:rFonts w:ascii="Times New Roman" w:hAnsi="Times New Roman" w:eastAsia="Times New Roman" w:cs="Times New Roman"/>
          <w:sz w:val="22"/>
          <w:szCs w:val="22"/>
        </w:rPr>
      </w:pPr>
      <w:r w:rsidRPr="3676AEA2" w:rsidR="00FB27CE">
        <w:rPr>
          <w:rStyle w:val="CommentReference"/>
          <w:rFonts w:ascii="Times New Roman" w:hAnsi="Times New Roman" w:eastAsia="Times New Roman" w:cs="Times New Roman"/>
          <w:sz w:val="22"/>
          <w:szCs w:val="22"/>
        </w:rPr>
        <w:t xml:space="preserve">Falls im Zusammenhang mit den Bedingungen dieser DPA die Einholung von Einwilligungen erforderlich ist, muss der Anbieter auch die Nachweise für alle Einwilligungen für drei (3) Jahre nach Beendigung der Vereinbarung </w:t>
      </w:r>
      <w:r w:rsidRPr="3676AEA2" w:rsidR="00FB27CE">
        <w:rPr>
          <w:rFonts w:ascii="Times New Roman" w:hAnsi="Times New Roman" w:eastAsia="Times New Roman" w:cs="Times New Roman"/>
          <w:sz w:val="22"/>
          <w:szCs w:val="22"/>
        </w:rPr>
        <w:t>aufbewahren.</w:t>
      </w:r>
    </w:p>
    <w:p w:rsidR="3676AEA2" w:rsidP="3676AEA2" w:rsidRDefault="3676AEA2" w14:paraId="1B047EA9" w14:textId="1D7C47DA">
      <w:pPr>
        <w:pStyle w:val="Normal"/>
        <w:spacing w:before="120" w:after="120"/>
        <w:ind w:left="0"/>
        <w:rPr>
          <w:rStyle w:val="CommentReference"/>
          <w:rFonts w:ascii="Times New Roman" w:hAnsi="Times New Roman" w:eastAsia="Times New Roman" w:cs="Times New Roman"/>
          <w:sz w:val="22"/>
          <w:szCs w:val="22"/>
        </w:rPr>
      </w:pPr>
    </w:p>
    <w:p w:rsidR="35DB7B5C" w:rsidP="3676AEA2" w:rsidRDefault="35DB7B5C" w14:paraId="79510905" w14:textId="690BB6A6">
      <w:pPr>
        <w:spacing w:before="0" w:beforeAutospacing="off" w:after="160" w:afterAutospacing="off" w:line="257" w:lineRule="auto"/>
        <w:rPr>
          <w:rFonts w:ascii="Times New Roman" w:hAnsi="Times New Roman" w:eastAsia="Times New Roman" w:cs="Times New Roman"/>
          <w:b w:val="1"/>
          <w:bCs w:val="1"/>
          <w:noProof w:val="0"/>
          <w:sz w:val="22"/>
          <w:szCs w:val="22"/>
          <w:lang w:val="de"/>
        </w:rPr>
      </w:pPr>
      <w:r w:rsidRPr="3676AEA2" w:rsidR="35DB7B5C">
        <w:rPr>
          <w:rFonts w:ascii="Times New Roman" w:hAnsi="Times New Roman" w:eastAsia="Times New Roman" w:cs="Times New Roman"/>
          <w:b w:val="1"/>
          <w:bCs w:val="1"/>
          <w:noProof w:val="0"/>
          <w:sz w:val="22"/>
          <w:szCs w:val="22"/>
          <w:lang w:val="de"/>
        </w:rPr>
        <w:t>ZUSATZVEREINBARUNG DER VEREINIGTEN ARABISCHEN EMIRATE: Bundesgesetz Nr. 45 von 2021 über den Schutz personenbezogener Daten</w:t>
      </w:r>
    </w:p>
    <w:p w:rsidR="35DB7B5C" w:rsidP="3676AEA2" w:rsidRDefault="35DB7B5C" w14:paraId="23078DF2" w14:textId="194F6DED">
      <w:pPr>
        <w:pStyle w:val="ListParagraph"/>
        <w:numPr>
          <w:ilvl w:val="0"/>
          <w:numId w:val="35"/>
        </w:numPr>
        <w:spacing w:before="0" w:beforeAutospacing="off" w:after="0" w:afterAutospacing="off"/>
        <w:ind w:left="360" w:right="0" w:hanging="360"/>
        <w:rPr>
          <w:rFonts w:ascii="Times New Roman" w:hAnsi="Times New Roman" w:eastAsia="Times New Roman" w:cs="Times New Roman"/>
          <w:noProof w:val="0"/>
          <w:sz w:val="22"/>
          <w:szCs w:val="22"/>
          <w:lang w:val="de-DE"/>
        </w:rPr>
      </w:pPr>
      <w:r w:rsidRPr="3676AEA2" w:rsidR="35DB7B5C">
        <w:rPr>
          <w:rFonts w:ascii="Times New Roman" w:hAnsi="Times New Roman" w:eastAsia="Times New Roman" w:cs="Times New Roman"/>
          <w:noProof w:val="0"/>
          <w:sz w:val="22"/>
          <w:szCs w:val="22"/>
          <w:lang w:val="de-DE"/>
        </w:rPr>
        <w:t xml:space="preserve">Soweit die in Anhang 2 beschriebenen Datenübertragungen dem Bundesgesetz Nr. 45 von 2021 der Vereinigten Arabischen Emirate über den Schutz personenbezogener Daten („PDPL“) unterliegen, gilt Folgendes: Solange und bis das </w:t>
      </w:r>
      <w:r w:rsidRPr="3676AEA2" w:rsidR="35DB7B5C">
        <w:rPr>
          <w:rFonts w:ascii="Times New Roman" w:hAnsi="Times New Roman" w:eastAsia="Times New Roman" w:cs="Times New Roman"/>
          <w:noProof w:val="0"/>
          <w:sz w:val="22"/>
          <w:szCs w:val="22"/>
          <w:lang w:val="de-DE"/>
        </w:rPr>
        <w:t>Datenamt</w:t>
      </w:r>
      <w:r w:rsidRPr="3676AEA2" w:rsidR="35DB7B5C">
        <w:rPr>
          <w:rFonts w:ascii="Times New Roman" w:hAnsi="Times New Roman" w:eastAsia="Times New Roman" w:cs="Times New Roman"/>
          <w:noProof w:val="0"/>
          <w:sz w:val="22"/>
          <w:szCs w:val="22"/>
          <w:lang w:val="de-DE"/>
        </w:rPr>
        <w:t xml:space="preserve"> der VAE eigene Standardvertragsklauseln erlässt, um die Übermittlung personenbezogener Daten außerhalb der Vereinigten Arabischen Emirate zu legitimieren, und die Parteien solche Standardvertragsklauseln abgeschlossen haben, vereinbaren die Parteien, dass die dem Anhang 2 beigefügten Standardvertragsklauseln mutatis mutandis in Bezug auf solche Übertragungen gelten, um angemessene Sicherheitsvorkehrungen für die personenbezogenen Daten und die betroffenen Personen zu gewährleisten. Zu diesem Zweck: a. Verweise auf die „Verordnung (EU) 2016/679“, die „Verordnung (EU) 2016/679 des Europäischen Parlaments und des Rates vom 27. April 2016 zum Schutz natürlicher Personen bei der Verarbeitung personenbezogener Daten und zum freien Datenverkehr (Allgemeine Datenschutzverordnung)“ und „diese Verordnung“ werden durch „PDPL“ ersetzt. b. Verweise auf spezifische Artikel der „Verordnung (EU) 2016/679“ werden durch die entsprechenden Artikel oder Abschnitte der PDPL ersetzt. c. Verweise auf die „Europäische Union“, „Union“, „EU“, „EU-Mitgliedstaat“, „Mitgliedstaat“ und „EU oder Mitgliedstaat“ werden alle durch die „Vereinigten Arabischen Emirate“ ersetzt. d. Die „zuständige Aufsichtsbehörde“ und die „Aufsichtsbehörde“ werden beide durch das „</w:t>
      </w:r>
      <w:r w:rsidRPr="3676AEA2" w:rsidR="35DB7B5C">
        <w:rPr>
          <w:rFonts w:ascii="Times New Roman" w:hAnsi="Times New Roman" w:eastAsia="Times New Roman" w:cs="Times New Roman"/>
          <w:noProof w:val="0"/>
          <w:sz w:val="22"/>
          <w:szCs w:val="22"/>
          <w:lang w:val="de-DE"/>
        </w:rPr>
        <w:t>Datenamt</w:t>
      </w:r>
      <w:r w:rsidRPr="3676AEA2" w:rsidR="35DB7B5C">
        <w:rPr>
          <w:rFonts w:ascii="Times New Roman" w:hAnsi="Times New Roman" w:eastAsia="Times New Roman" w:cs="Times New Roman"/>
          <w:noProof w:val="0"/>
          <w:sz w:val="22"/>
          <w:szCs w:val="22"/>
          <w:lang w:val="de-DE"/>
        </w:rPr>
        <w:t xml:space="preserve">“ ersetzt. e. Jede Streitigkeit aus den Standardvertragsklauseln unterliegt den Gesetzen der Vereinigten Arabischen Emirate und wird von den Gerichten der Vereinigten Arabischen Emirate entschieden. Die Parteien vereinbaren, sich der Zuständigkeit dieser Gerichte zu unterwerfen. f. Im Falle eines Widerspruchs oder Konflikts zwischen der PDPL und den dem Anhang 2 beigefügten Standardvertragsklauseln gilt die PDPL. g. Wenn der </w:t>
      </w:r>
      <w:r w:rsidRPr="3676AEA2" w:rsidR="35DB7B5C">
        <w:rPr>
          <w:rFonts w:ascii="Times New Roman" w:hAnsi="Times New Roman" w:eastAsia="Times New Roman" w:cs="Times New Roman"/>
          <w:noProof w:val="0"/>
          <w:sz w:val="22"/>
          <w:szCs w:val="22"/>
          <w:lang w:val="de-DE"/>
        </w:rPr>
        <w:t>Inhalt</w:t>
      </w:r>
      <w:r w:rsidRPr="3676AEA2" w:rsidR="35DB7B5C">
        <w:rPr>
          <w:rFonts w:ascii="Times New Roman" w:hAnsi="Times New Roman" w:eastAsia="Times New Roman" w:cs="Times New Roman"/>
          <w:noProof w:val="0"/>
          <w:sz w:val="22"/>
          <w:szCs w:val="22"/>
          <w:lang w:val="de-DE"/>
        </w:rPr>
        <w:t xml:space="preserve"> der dem Anhang 2 beigefügten Standardvertragsklauseln unklar ist, soweit er auf Übertragungen personenbezogener Daten außerhalb der VAE anwendbar ist, oder es mehrere Bedeutungen gibt, gilt die Bedeutung, die am ehesten mit der PDPL übereinstimmt.</w:t>
      </w:r>
    </w:p>
    <w:p w:rsidR="35DB7B5C" w:rsidP="3676AEA2" w:rsidRDefault="35DB7B5C" w14:paraId="2209915B" w14:textId="0E22E4CF">
      <w:pPr>
        <w:pStyle w:val="ListParagraph"/>
        <w:numPr>
          <w:ilvl w:val="0"/>
          <w:numId w:val="35"/>
        </w:numPr>
        <w:spacing w:before="0" w:beforeAutospacing="off" w:after="0" w:afterAutospacing="off"/>
        <w:ind w:left="360" w:right="0" w:hanging="360"/>
        <w:rPr>
          <w:rFonts w:ascii="Times New Roman" w:hAnsi="Times New Roman" w:eastAsia="Times New Roman" w:cs="Times New Roman"/>
          <w:noProof w:val="0"/>
          <w:sz w:val="22"/>
          <w:szCs w:val="22"/>
          <w:lang w:val="de-DE"/>
        </w:rPr>
      </w:pPr>
      <w:r w:rsidRPr="3676AEA2" w:rsidR="35DB7B5C">
        <w:rPr>
          <w:rFonts w:ascii="Times New Roman" w:hAnsi="Times New Roman" w:eastAsia="Times New Roman" w:cs="Times New Roman"/>
          <w:noProof w:val="0"/>
          <w:sz w:val="22"/>
          <w:szCs w:val="22"/>
          <w:lang w:val="de-DE"/>
        </w:rPr>
        <w:t xml:space="preserve">Wenn das </w:t>
      </w:r>
      <w:r w:rsidRPr="3676AEA2" w:rsidR="35DB7B5C">
        <w:rPr>
          <w:rFonts w:ascii="Times New Roman" w:hAnsi="Times New Roman" w:eastAsia="Times New Roman" w:cs="Times New Roman"/>
          <w:noProof w:val="0"/>
          <w:sz w:val="22"/>
          <w:szCs w:val="22"/>
          <w:lang w:val="de-DE"/>
        </w:rPr>
        <w:t>Datenamt</w:t>
      </w:r>
      <w:r w:rsidRPr="3676AEA2" w:rsidR="35DB7B5C">
        <w:rPr>
          <w:rFonts w:ascii="Times New Roman" w:hAnsi="Times New Roman" w:eastAsia="Times New Roman" w:cs="Times New Roman"/>
          <w:noProof w:val="0"/>
          <w:sz w:val="22"/>
          <w:szCs w:val="22"/>
          <w:lang w:val="de-DE"/>
        </w:rPr>
        <w:t xml:space="preserve"> der VAE eigene Standardvertragsklauseln erlässt, um die Übermittlung personenbezogener Daten außerhalb der Vereinigten Arabischen Emirate zu legitimieren, werden die Parteien nach Treu und Glauben verhandeln, um die Standardvertragsklauseln so bald wie möglich zu vereinbaren und umzusetzen. Wenn die Parteien Standardvertragsklauseln gemäß dem vorstehenden Satz abschließen, ersetzen diese Standardvertragsklauseln in Bezug auf Übertragungen personenbezogener Daten, die der PDPL unterliegen, außerhalb der Vereinigten Arabischen Emirate die dem Anhang 2 beigefügten Standardvertragsklauseln als die angemessenen Sicherheitsvorkehrungen, die zur Bereitstellung angemessener Sicherheitsvorkehrungen für die personenbezogenen Daten und die betroffenen Personen in Bezug auf die Übertragungen umgesetzt werden.</w:t>
      </w:r>
    </w:p>
    <w:p w:rsidR="35DB7B5C" w:rsidP="3676AEA2" w:rsidRDefault="35DB7B5C" w14:paraId="37EFFF87" w14:textId="1EF99BAC">
      <w:pPr>
        <w:pStyle w:val="ListParagraph"/>
        <w:numPr>
          <w:ilvl w:val="0"/>
          <w:numId w:val="35"/>
        </w:numPr>
        <w:spacing w:before="0" w:beforeAutospacing="off" w:after="0" w:afterAutospacing="off"/>
        <w:ind w:left="360" w:right="0" w:hanging="360"/>
        <w:rPr>
          <w:rFonts w:ascii="Times New Roman" w:hAnsi="Times New Roman" w:eastAsia="Times New Roman" w:cs="Times New Roman"/>
          <w:noProof w:val="0"/>
          <w:sz w:val="22"/>
          <w:szCs w:val="22"/>
          <w:lang w:val="de-DE"/>
        </w:rPr>
      </w:pPr>
      <w:r w:rsidRPr="3676AEA2" w:rsidR="35DB7B5C">
        <w:rPr>
          <w:rFonts w:ascii="Times New Roman" w:hAnsi="Times New Roman" w:eastAsia="Times New Roman" w:cs="Times New Roman"/>
          <w:noProof w:val="0"/>
          <w:sz w:val="22"/>
          <w:szCs w:val="22"/>
          <w:lang w:val="de-DE"/>
        </w:rPr>
        <w:t xml:space="preserve">Das Unternehmen kann seine Zustimmung zur </w:t>
      </w:r>
      <w:r w:rsidRPr="3676AEA2" w:rsidR="35DB7B5C">
        <w:rPr>
          <w:rFonts w:ascii="Times New Roman" w:hAnsi="Times New Roman" w:eastAsia="Times New Roman" w:cs="Times New Roman"/>
          <w:noProof w:val="0"/>
          <w:sz w:val="22"/>
          <w:szCs w:val="22"/>
          <w:lang w:val="de-DE"/>
        </w:rPr>
        <w:t>Bindung</w:t>
      </w:r>
      <w:r w:rsidRPr="3676AEA2" w:rsidR="35DB7B5C">
        <w:rPr>
          <w:rFonts w:ascii="Times New Roman" w:hAnsi="Times New Roman" w:eastAsia="Times New Roman" w:cs="Times New Roman"/>
          <w:noProof w:val="0"/>
          <w:sz w:val="22"/>
          <w:szCs w:val="22"/>
          <w:lang w:val="de-DE"/>
        </w:rPr>
        <w:t xml:space="preserve"> an die dem Anhang 2 beigefügten Standardvertragsklauseln durch schriftliche Mitteilung an den Lieferanten widerrufen, wenn das </w:t>
      </w:r>
      <w:r w:rsidRPr="3676AEA2" w:rsidR="35DB7B5C">
        <w:rPr>
          <w:rFonts w:ascii="Times New Roman" w:hAnsi="Times New Roman" w:eastAsia="Times New Roman" w:cs="Times New Roman"/>
          <w:noProof w:val="0"/>
          <w:sz w:val="22"/>
          <w:szCs w:val="22"/>
          <w:lang w:val="de-DE"/>
        </w:rPr>
        <w:t>Datenamt</w:t>
      </w:r>
      <w:r w:rsidRPr="3676AEA2" w:rsidR="35DB7B5C">
        <w:rPr>
          <w:rFonts w:ascii="Times New Roman" w:hAnsi="Times New Roman" w:eastAsia="Times New Roman" w:cs="Times New Roman"/>
          <w:noProof w:val="0"/>
          <w:sz w:val="22"/>
          <w:szCs w:val="22"/>
          <w:lang w:val="de-DE"/>
        </w:rPr>
        <w:t xml:space="preserve"> eine Angemessenheitsentscheidung trifft, die die Übermittlung personenbezogener Daten abdeckt, auf die die Standardvertragsklauseln Anwendung finden, oder wenn das Unternehmen anderweitig feststellt, dass andere angemessene Sicherheitsvorkehrungen in Bezug auf die Übermittlung gelten. Ab dem Datum einer solchen Mitteilung des Unternehmens gemäß dem vorstehenden Satz gelten die dem Anhang 2 beigefügten Standardvertragsklauseln nicht mehr für Übertragungen personenbezogener Daten, die der PDPL unterliegen, außerhalb der Vereinigten Arabischen Emirate.</w:t>
      </w:r>
    </w:p>
    <w:p w:rsidR="35DB7B5C" w:rsidP="3676AEA2" w:rsidRDefault="35DB7B5C" w14:paraId="78CA7BEE" w14:textId="13843B35">
      <w:pPr>
        <w:spacing w:before="240" w:beforeAutospacing="off" w:after="240" w:afterAutospacing="off"/>
        <w:rPr>
          <w:rFonts w:ascii="Times New Roman" w:hAnsi="Times New Roman" w:eastAsia="Times New Roman" w:cs="Times New Roman"/>
          <w:b w:val="1"/>
          <w:bCs w:val="1"/>
          <w:noProof w:val="0"/>
          <w:sz w:val="22"/>
          <w:szCs w:val="22"/>
          <w:lang w:val="de-DE"/>
        </w:rPr>
      </w:pPr>
      <w:r w:rsidRPr="3676AEA2" w:rsidR="35DB7B5C">
        <w:rPr>
          <w:rFonts w:ascii="Times New Roman" w:hAnsi="Times New Roman" w:eastAsia="Times New Roman" w:cs="Times New Roman"/>
          <w:b w:val="1"/>
          <w:bCs w:val="1"/>
          <w:noProof w:val="0"/>
          <w:sz w:val="22"/>
          <w:szCs w:val="22"/>
          <w:lang w:val="de-DE"/>
        </w:rPr>
        <w:t>BRASILIEN-ANHANG: LGPD - Standardvertragsklauseln</w:t>
      </w:r>
    </w:p>
    <w:p w:rsidR="35DB7B5C" w:rsidP="3676AEA2" w:rsidRDefault="35DB7B5C" w14:paraId="4BD6A974" w14:textId="1450098C">
      <w:pPr>
        <w:spacing w:before="240" w:beforeAutospacing="off" w:after="240" w:afterAutospacing="off"/>
        <w:rPr>
          <w:rFonts w:ascii="Times New Roman" w:hAnsi="Times New Roman" w:eastAsia="Times New Roman" w:cs="Times New Roman"/>
          <w:noProof w:val="0"/>
          <w:sz w:val="22"/>
          <w:szCs w:val="22"/>
          <w:lang w:val="de-DE"/>
        </w:rPr>
      </w:pPr>
      <w:r w:rsidRPr="3676AEA2" w:rsidR="35DB7B5C">
        <w:rPr>
          <w:rFonts w:ascii="Times New Roman" w:hAnsi="Times New Roman" w:eastAsia="Times New Roman" w:cs="Times New Roman"/>
          <w:noProof w:val="0"/>
          <w:sz w:val="22"/>
          <w:szCs w:val="22"/>
          <w:lang w:val="de-DE"/>
        </w:rPr>
        <w:t xml:space="preserve">Die brasilianischen Standardvertragsklauseln ("SCCs") gemäß dem Allgemeinen Datenschutzgesetz (Lei </w:t>
      </w:r>
      <w:r w:rsidRPr="3676AEA2" w:rsidR="35DB7B5C">
        <w:rPr>
          <w:rFonts w:ascii="Times New Roman" w:hAnsi="Times New Roman" w:eastAsia="Times New Roman" w:cs="Times New Roman"/>
          <w:noProof w:val="0"/>
          <w:sz w:val="22"/>
          <w:szCs w:val="22"/>
          <w:lang w:val="de-DE"/>
        </w:rPr>
        <w:t>Geral</w:t>
      </w:r>
      <w:r w:rsidRPr="3676AEA2" w:rsidR="35DB7B5C">
        <w:rPr>
          <w:rFonts w:ascii="Times New Roman" w:hAnsi="Times New Roman" w:eastAsia="Times New Roman" w:cs="Times New Roman"/>
          <w:noProof w:val="0"/>
          <w:sz w:val="22"/>
          <w:szCs w:val="22"/>
          <w:lang w:val="de-DE"/>
        </w:rPr>
        <w:t xml:space="preserve"> de </w:t>
      </w:r>
      <w:r w:rsidRPr="3676AEA2" w:rsidR="35DB7B5C">
        <w:rPr>
          <w:rFonts w:ascii="Times New Roman" w:hAnsi="Times New Roman" w:eastAsia="Times New Roman" w:cs="Times New Roman"/>
          <w:noProof w:val="0"/>
          <w:sz w:val="22"/>
          <w:szCs w:val="22"/>
          <w:lang w:val="de-DE"/>
        </w:rPr>
        <w:t>Proteção</w:t>
      </w:r>
      <w:r w:rsidRPr="3676AEA2" w:rsidR="35DB7B5C">
        <w:rPr>
          <w:rFonts w:ascii="Times New Roman" w:hAnsi="Times New Roman" w:eastAsia="Times New Roman" w:cs="Times New Roman"/>
          <w:noProof w:val="0"/>
          <w:sz w:val="22"/>
          <w:szCs w:val="22"/>
          <w:lang w:val="de-DE"/>
        </w:rPr>
        <w:t xml:space="preserve"> de </w:t>
      </w:r>
      <w:r w:rsidRPr="3676AEA2" w:rsidR="35DB7B5C">
        <w:rPr>
          <w:rFonts w:ascii="Times New Roman" w:hAnsi="Times New Roman" w:eastAsia="Times New Roman" w:cs="Times New Roman"/>
          <w:noProof w:val="0"/>
          <w:sz w:val="22"/>
          <w:szCs w:val="22"/>
          <w:lang w:val="de-DE"/>
        </w:rPr>
        <w:t>Dados</w:t>
      </w:r>
      <w:r w:rsidRPr="3676AEA2" w:rsidR="35DB7B5C">
        <w:rPr>
          <w:rFonts w:ascii="Times New Roman" w:hAnsi="Times New Roman" w:eastAsia="Times New Roman" w:cs="Times New Roman"/>
          <w:noProof w:val="0"/>
          <w:sz w:val="22"/>
          <w:szCs w:val="22"/>
          <w:lang w:val="de-DE"/>
        </w:rPr>
        <w:t xml:space="preserve"> – “LGPD”) sind einzuhalten, wenn Daten von brasilianischen Einwohnern verarbeitet werden, oder wenn eine Datenübertragung deren Anwendung erforderlich macht. Die Parteien stimmen zu, die SCCs in ihrer Gesamtheit zu übernehmen, wie sie von der brasilianischen Datenschutzbehörde (“ANPD”) herausgegeben wurden, es sei denn, sie werden gemäß den in den Klauseln ausdrücklich erlaubten Bedingungen geändert. Solche SCCs sind durch Bezugnahme in das Abkommen aufgenommen, wobei die folgenden Optionen ausgewählt wurden, wenn mehr als eine Textoption vorliegt:</w:t>
      </w:r>
    </w:p>
    <w:p w:rsidR="35DB7B5C" w:rsidP="3676AEA2" w:rsidRDefault="35DB7B5C" w14:paraId="727D1C1B" w14:textId="6C084C77">
      <w:pPr>
        <w:spacing w:before="240" w:beforeAutospacing="off" w:after="240" w:afterAutospacing="off"/>
        <w:rPr>
          <w:rFonts w:ascii="Times New Roman" w:hAnsi="Times New Roman" w:eastAsia="Times New Roman" w:cs="Times New Roman"/>
          <w:noProof w:val="0"/>
          <w:sz w:val="22"/>
          <w:szCs w:val="22"/>
          <w:lang w:val="de-DE"/>
        </w:rPr>
      </w:pPr>
      <w:r w:rsidRPr="3676AEA2" w:rsidR="35DB7B5C">
        <w:rPr>
          <w:rFonts w:ascii="Times New Roman" w:hAnsi="Times New Roman" w:eastAsia="Times New Roman" w:cs="Times New Roman"/>
          <w:noProof w:val="0"/>
          <w:sz w:val="22"/>
          <w:szCs w:val="22"/>
          <w:lang w:val="de-DE"/>
        </w:rPr>
        <w:t>OPTION B wird für Abschnitt 3.1 gewählt. Der Importeur kann eine Weiterübertragung personenbezogener Daten im Rahmen der internationalen Datenübertragung gemäß diesen Klauseln vornehmen, unter den nachstehend beschriebenen Bedingungen und den Bestimmungen der KLAUSEL 18.</w:t>
      </w:r>
    </w:p>
    <w:p w:rsidR="35DB7B5C" w:rsidP="3676AEA2" w:rsidRDefault="35DB7B5C" w14:paraId="12EA7929" w14:textId="2C86D8CA">
      <w:pPr>
        <w:spacing w:before="240" w:beforeAutospacing="off" w:after="240" w:afterAutospacing="off"/>
        <w:rPr>
          <w:rFonts w:ascii="Times New Roman" w:hAnsi="Times New Roman" w:eastAsia="Times New Roman" w:cs="Times New Roman"/>
          <w:noProof w:val="0"/>
          <w:sz w:val="22"/>
          <w:szCs w:val="22"/>
          <w:lang w:val="de-DE"/>
        </w:rPr>
      </w:pPr>
      <w:r w:rsidRPr="3676AEA2" w:rsidR="35DB7B5C">
        <w:rPr>
          <w:rFonts w:ascii="Times New Roman" w:hAnsi="Times New Roman" w:eastAsia="Times New Roman" w:cs="Times New Roman"/>
          <w:noProof w:val="0"/>
          <w:sz w:val="22"/>
          <w:szCs w:val="22"/>
          <w:lang w:val="de-DE"/>
        </w:rPr>
        <w:t>OPTION A wird für Abschnitt 4.1 gewählt. Unbeschadet der Pflicht zur gegenseitigen Unterstützung und der allgemeinen Verpflichtungen der Parteien ist die unten bezeichnete Partei hauptsächlich dafür verantwortlich, die in diesen Klauseln festgelegten Verpflichtungen einzuhalten:</w:t>
      </w:r>
    </w:p>
    <w:p w:rsidR="35DB7B5C" w:rsidP="3676AEA2" w:rsidRDefault="35DB7B5C" w14:paraId="4EA25826" w14:textId="227EDB3A">
      <w:pPr>
        <w:spacing w:before="240" w:beforeAutospacing="off" w:after="240" w:afterAutospacing="off"/>
        <w:rPr>
          <w:rFonts w:ascii="Times New Roman" w:hAnsi="Times New Roman" w:eastAsia="Times New Roman" w:cs="Times New Roman"/>
          <w:noProof w:val="0"/>
          <w:sz w:val="22"/>
          <w:szCs w:val="22"/>
          <w:lang w:val="de-DE"/>
        </w:rPr>
      </w:pPr>
      <w:r w:rsidRPr="3676AEA2" w:rsidR="35DB7B5C">
        <w:rPr>
          <w:rFonts w:ascii="Times New Roman" w:hAnsi="Times New Roman" w:eastAsia="Times New Roman" w:cs="Times New Roman"/>
          <w:noProof w:val="0"/>
          <w:sz w:val="22"/>
          <w:szCs w:val="22"/>
          <w:lang w:val="de-DE"/>
        </w:rPr>
        <w:t>a) Verantwortlich für die Veröffentlichung des in KLAUSEL 14 vorgesehenen Dokuments:</w:t>
      </w:r>
    </w:p>
    <w:p w:rsidR="35DB7B5C" w:rsidP="3676AEA2" w:rsidRDefault="35DB7B5C" w14:paraId="51C07C64" w14:textId="0BC3EDFE">
      <w:pPr>
        <w:spacing w:before="240" w:beforeAutospacing="off" w:after="240" w:afterAutospacing="off"/>
        <w:rPr>
          <w:rFonts w:ascii="Times New Roman" w:hAnsi="Times New Roman" w:eastAsia="Times New Roman" w:cs="Times New Roman"/>
          <w:noProof w:val="0"/>
          <w:sz w:val="22"/>
          <w:szCs w:val="22"/>
          <w:lang w:val="de-DE"/>
        </w:rPr>
      </w:pPr>
      <w:r w:rsidRPr="3676AEA2" w:rsidR="35DB7B5C">
        <w:rPr>
          <w:rFonts w:ascii="Times New Roman" w:hAnsi="Times New Roman" w:eastAsia="Times New Roman" w:cs="Times New Roman"/>
          <w:noProof w:val="0"/>
          <w:sz w:val="22"/>
          <w:szCs w:val="22"/>
          <w:lang w:val="de-DE"/>
        </w:rPr>
        <w:t xml:space="preserve">[x] Exporteur </w:t>
      </w:r>
      <w:r w:rsidRPr="3676AEA2" w:rsidR="35DB7B5C">
        <w:rPr>
          <w:rFonts w:ascii="Times New Roman" w:hAnsi="Times New Roman" w:eastAsia="Times New Roman" w:cs="Times New Roman"/>
          <w:noProof w:val="0"/>
          <w:sz w:val="22"/>
          <w:szCs w:val="22"/>
          <w:lang w:val="de-DE"/>
        </w:rPr>
        <w:t>[ ]</w:t>
      </w:r>
      <w:r w:rsidRPr="3676AEA2" w:rsidR="35DB7B5C">
        <w:rPr>
          <w:rFonts w:ascii="Times New Roman" w:hAnsi="Times New Roman" w:eastAsia="Times New Roman" w:cs="Times New Roman"/>
          <w:noProof w:val="0"/>
          <w:sz w:val="22"/>
          <w:szCs w:val="22"/>
          <w:lang w:val="de-DE"/>
        </w:rPr>
        <w:t xml:space="preserve"> Importeur</w:t>
      </w:r>
    </w:p>
    <w:p w:rsidR="35DB7B5C" w:rsidP="3676AEA2" w:rsidRDefault="35DB7B5C" w14:paraId="7C887BAC" w14:textId="39648E08">
      <w:pPr>
        <w:spacing w:before="240" w:beforeAutospacing="off" w:after="240" w:afterAutospacing="off"/>
        <w:rPr>
          <w:rFonts w:ascii="Times New Roman" w:hAnsi="Times New Roman" w:eastAsia="Times New Roman" w:cs="Times New Roman"/>
          <w:noProof w:val="0"/>
          <w:sz w:val="22"/>
          <w:szCs w:val="22"/>
          <w:lang w:val="de-DE"/>
        </w:rPr>
      </w:pPr>
      <w:r w:rsidRPr="3676AEA2" w:rsidR="35DB7B5C">
        <w:rPr>
          <w:rFonts w:ascii="Times New Roman" w:hAnsi="Times New Roman" w:eastAsia="Times New Roman" w:cs="Times New Roman"/>
          <w:noProof w:val="0"/>
          <w:sz w:val="22"/>
          <w:szCs w:val="22"/>
          <w:lang w:val="de-DE"/>
        </w:rPr>
        <w:t>b) Verantwortlich für die Bearbeitung von Anfragen der betroffenen Personen gemäß KLAUSEL 15:</w:t>
      </w:r>
    </w:p>
    <w:p w:rsidR="35DB7B5C" w:rsidP="3676AEA2" w:rsidRDefault="35DB7B5C" w14:paraId="0DDCB29D" w14:textId="2EE7D0B3">
      <w:pPr>
        <w:spacing w:before="240" w:beforeAutospacing="off" w:after="240" w:afterAutospacing="off"/>
        <w:rPr>
          <w:rFonts w:ascii="Times New Roman" w:hAnsi="Times New Roman" w:eastAsia="Times New Roman" w:cs="Times New Roman"/>
          <w:noProof w:val="0"/>
          <w:sz w:val="22"/>
          <w:szCs w:val="22"/>
          <w:lang w:val="de-DE"/>
        </w:rPr>
      </w:pPr>
      <w:r w:rsidRPr="3676AEA2" w:rsidR="35DB7B5C">
        <w:rPr>
          <w:rFonts w:ascii="Times New Roman" w:hAnsi="Times New Roman" w:eastAsia="Times New Roman" w:cs="Times New Roman"/>
          <w:noProof w:val="0"/>
          <w:sz w:val="22"/>
          <w:szCs w:val="22"/>
          <w:lang w:val="de-DE"/>
        </w:rPr>
        <w:t xml:space="preserve">[x] Exporteur </w:t>
      </w:r>
      <w:r w:rsidRPr="3676AEA2" w:rsidR="35DB7B5C">
        <w:rPr>
          <w:rFonts w:ascii="Times New Roman" w:hAnsi="Times New Roman" w:eastAsia="Times New Roman" w:cs="Times New Roman"/>
          <w:noProof w:val="0"/>
          <w:sz w:val="22"/>
          <w:szCs w:val="22"/>
          <w:lang w:val="de-DE"/>
        </w:rPr>
        <w:t>[ ]</w:t>
      </w:r>
      <w:r w:rsidRPr="3676AEA2" w:rsidR="35DB7B5C">
        <w:rPr>
          <w:rFonts w:ascii="Times New Roman" w:hAnsi="Times New Roman" w:eastAsia="Times New Roman" w:cs="Times New Roman"/>
          <w:noProof w:val="0"/>
          <w:sz w:val="22"/>
          <w:szCs w:val="22"/>
          <w:lang w:val="de-DE"/>
        </w:rPr>
        <w:t xml:space="preserve"> Importeur</w:t>
      </w:r>
    </w:p>
    <w:p w:rsidR="35DB7B5C" w:rsidP="3676AEA2" w:rsidRDefault="35DB7B5C" w14:paraId="2FCB4476" w14:textId="24997838">
      <w:pPr>
        <w:spacing w:before="240" w:beforeAutospacing="off" w:after="240" w:afterAutospacing="off"/>
        <w:rPr>
          <w:rFonts w:ascii="Times New Roman" w:hAnsi="Times New Roman" w:eastAsia="Times New Roman" w:cs="Times New Roman"/>
          <w:noProof w:val="0"/>
          <w:sz w:val="22"/>
          <w:szCs w:val="22"/>
          <w:lang w:val="de-DE"/>
        </w:rPr>
      </w:pPr>
      <w:r w:rsidRPr="3676AEA2" w:rsidR="35DB7B5C">
        <w:rPr>
          <w:rFonts w:ascii="Times New Roman" w:hAnsi="Times New Roman" w:eastAsia="Times New Roman" w:cs="Times New Roman"/>
          <w:noProof w:val="0"/>
          <w:sz w:val="22"/>
          <w:szCs w:val="22"/>
          <w:lang w:val="de-DE"/>
        </w:rPr>
        <w:t>c) Verantwortlich für die Meldung des in KLAUSEL 16 vorgesehenen Sicherheitsvorfalls:</w:t>
      </w:r>
    </w:p>
    <w:p w:rsidR="35DB7B5C" w:rsidP="3676AEA2" w:rsidRDefault="35DB7B5C" w14:paraId="5E22B524" w14:textId="74DBC702">
      <w:pPr>
        <w:spacing w:before="240" w:beforeAutospacing="off" w:after="240" w:afterAutospacing="off"/>
        <w:rPr>
          <w:rFonts w:ascii="Times New Roman" w:hAnsi="Times New Roman" w:eastAsia="Times New Roman" w:cs="Times New Roman"/>
          <w:noProof w:val="0"/>
          <w:sz w:val="22"/>
          <w:szCs w:val="22"/>
          <w:lang w:val="de-DE"/>
        </w:rPr>
      </w:pPr>
      <w:r w:rsidRPr="3676AEA2" w:rsidR="35DB7B5C">
        <w:rPr>
          <w:rFonts w:ascii="Times New Roman" w:hAnsi="Times New Roman" w:eastAsia="Times New Roman" w:cs="Times New Roman"/>
          <w:noProof w:val="0"/>
          <w:sz w:val="22"/>
          <w:szCs w:val="22"/>
          <w:lang w:val="de-DE"/>
        </w:rPr>
        <w:t xml:space="preserve">[x] Exporteur </w:t>
      </w:r>
      <w:r w:rsidRPr="3676AEA2" w:rsidR="35DB7B5C">
        <w:rPr>
          <w:rFonts w:ascii="Times New Roman" w:hAnsi="Times New Roman" w:eastAsia="Times New Roman" w:cs="Times New Roman"/>
          <w:noProof w:val="0"/>
          <w:sz w:val="22"/>
          <w:szCs w:val="22"/>
          <w:lang w:val="de-DE"/>
        </w:rPr>
        <w:t>[ ]</w:t>
      </w:r>
      <w:r w:rsidRPr="3676AEA2" w:rsidR="35DB7B5C">
        <w:rPr>
          <w:rFonts w:ascii="Times New Roman" w:hAnsi="Times New Roman" w:eastAsia="Times New Roman" w:cs="Times New Roman"/>
          <w:noProof w:val="0"/>
          <w:sz w:val="22"/>
          <w:szCs w:val="22"/>
          <w:lang w:val="de-DE"/>
        </w:rPr>
        <w:t xml:space="preserve"> Importeur</w:t>
      </w:r>
    </w:p>
    <w:p w:rsidR="35DB7B5C" w:rsidP="3676AEA2" w:rsidRDefault="35DB7B5C" w14:paraId="7E8A71AC" w14:textId="3631B921">
      <w:pPr>
        <w:spacing w:before="240" w:beforeAutospacing="off" w:after="240" w:afterAutospacing="off"/>
        <w:rPr>
          <w:rFonts w:ascii="Times New Roman" w:hAnsi="Times New Roman" w:eastAsia="Times New Roman" w:cs="Times New Roman"/>
          <w:b w:val="1"/>
          <w:bCs w:val="1"/>
          <w:noProof w:val="0"/>
          <w:sz w:val="22"/>
          <w:szCs w:val="22"/>
          <w:lang w:val="de-DE"/>
        </w:rPr>
      </w:pPr>
      <w:r w:rsidRPr="3676AEA2" w:rsidR="35DB7B5C">
        <w:rPr>
          <w:rFonts w:ascii="Times New Roman" w:hAnsi="Times New Roman" w:eastAsia="Times New Roman" w:cs="Times New Roman"/>
          <w:b w:val="1"/>
          <w:bCs w:val="1"/>
          <w:noProof w:val="0"/>
          <w:sz w:val="22"/>
          <w:szCs w:val="22"/>
          <w:lang w:val="de-DE"/>
        </w:rPr>
        <w:t>SAUDI-ARABIEN-ANHANG: PDPL - Standardvertragsklauseln</w:t>
      </w:r>
    </w:p>
    <w:p w:rsidR="35DB7B5C" w:rsidP="3676AEA2" w:rsidRDefault="35DB7B5C" w14:paraId="5DDBFFD6" w14:textId="187BBA0C">
      <w:pPr>
        <w:spacing w:before="240" w:beforeAutospacing="off" w:after="240" w:afterAutospacing="off"/>
        <w:rPr>
          <w:rFonts w:ascii="Times New Roman" w:hAnsi="Times New Roman" w:eastAsia="Times New Roman" w:cs="Times New Roman"/>
          <w:noProof w:val="0"/>
          <w:sz w:val="22"/>
          <w:szCs w:val="22"/>
          <w:lang w:val="de-DE"/>
        </w:rPr>
      </w:pPr>
      <w:r w:rsidRPr="3676AEA2" w:rsidR="35DB7B5C">
        <w:rPr>
          <w:rFonts w:ascii="Times New Roman" w:hAnsi="Times New Roman" w:eastAsia="Times New Roman" w:cs="Times New Roman"/>
          <w:noProof w:val="0"/>
          <w:sz w:val="22"/>
          <w:szCs w:val="22"/>
          <w:lang w:val="de-DE"/>
        </w:rPr>
        <w:t>Die saudi-arabischen Standardvertragsklauseln („SCCs“) gemäß dem Datenschutzgesetz („PDPL“) sind zu integrieren, wenn Daten von saudischen Einwohnern verarbeitet werden, wenn eine Datenübertragung der saudi-arabischen Gerichtsbarkeit unterliegt oder wenn das saudi-arabische Recht die Einhaltung der saudi-arabischen SCCs erfordert. Die Version der SCCs, die mit dem im Anhang 2 beschriebenen Vorlage-Typ übereinstimmt, ist vollständig anwendbar und wird durch Verweis in das Abkommen aufgenommen.</w:t>
      </w:r>
    </w:p>
    <w:p w:rsidR="3676AEA2" w:rsidP="3676AEA2" w:rsidRDefault="3676AEA2" w14:paraId="04374022" w14:textId="4D1A698A">
      <w:pPr>
        <w:pStyle w:val="Normal"/>
        <w:spacing w:before="120" w:after="120"/>
        <w:ind w:left="0"/>
        <w:rPr>
          <w:rStyle w:val="CommentReference"/>
          <w:rFonts w:ascii="Times New Roman" w:hAnsi="Times New Roman" w:eastAsia="Times New Roman" w:cs="Times New Roman"/>
          <w:sz w:val="22"/>
          <w:szCs w:val="22"/>
        </w:rPr>
      </w:pPr>
    </w:p>
    <w:sectPr w:rsidRPr="0040051E" w:rsidR="00F60F47">
      <w:headerReference w:type="default" r:id="rId2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46476" w:rsidP="004324EC" w:rsidRDefault="00846476" w14:paraId="09629125" w14:textId="77777777">
      <w:pPr>
        <w:spacing w:after="0" w:line="240" w:lineRule="auto"/>
      </w:pPr>
      <w:r>
        <w:separator/>
      </w:r>
    </w:p>
  </w:endnote>
  <w:endnote w:type="continuationSeparator" w:id="0">
    <w:p w:rsidR="00846476" w:rsidP="004324EC" w:rsidRDefault="00846476" w14:paraId="79BD194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46476" w:rsidP="004324EC" w:rsidRDefault="00846476" w14:paraId="6063CD9E" w14:textId="77777777">
      <w:pPr>
        <w:spacing w:after="0" w:line="240" w:lineRule="auto"/>
      </w:pPr>
      <w:r>
        <w:separator/>
      </w:r>
    </w:p>
  </w:footnote>
  <w:footnote w:type="continuationSeparator" w:id="0">
    <w:p w:rsidR="00846476" w:rsidP="004324EC" w:rsidRDefault="00846476" w14:paraId="359259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D90B81" w:rsidRDefault="00D90B81" w14:paraId="5356A427" w14:textId="38223684">
    <w:pPr>
      <w:pStyle w:val="Header"/>
    </w:pPr>
    <w:r>
      <w:rPr>
        <w:noProof/>
      </w:rPr>
      <mc:AlternateContent>
        <mc:Choice Requires="wps">
          <w:drawing>
            <wp:anchor distT="0" distB="0" distL="114300" distR="114300" simplePos="0" relativeHeight="251659264" behindDoc="0" locked="0" layoutInCell="0" allowOverlap="1" wp14:anchorId="139228A4" wp14:editId="72CA8261">
              <wp:simplePos x="0" y="0"/>
              <wp:positionH relativeFrom="page">
                <wp:posOffset>0</wp:posOffset>
              </wp:positionH>
              <wp:positionV relativeFrom="page">
                <wp:posOffset>190500</wp:posOffset>
              </wp:positionV>
              <wp:extent cx="7772400" cy="273050"/>
              <wp:effectExtent l="0" t="0" r="0" b="12700"/>
              <wp:wrapNone/>
              <wp:docPr id="1" name="MSIPCM1735474393f91ab84a01dd4f" descr="{&quot;HashCode&quot;:-158902633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C14AD7" w:rsidR="00D90B81" w:rsidP="00C14AD7" w:rsidRDefault="00C14AD7" w14:paraId="59211B68" w14:textId="1A49F61E">
                          <w:pPr>
                            <w:spacing w:after="0"/>
                            <w:rPr>
                              <w:rFonts w:ascii="Calibri" w:hAnsi="Calibri" w:cs="Calibri"/>
                              <w:color w:val="03C03C"/>
                              <w:sz w:val="24"/>
                            </w:rPr>
                          </w:pPr>
                          <w:r>
                            <w:rPr>
                              <w:rFonts w:ascii="Calibri"/>
                              <w:color w:val="03C03C"/>
                              <w:sz w:val="24"/>
                            </w:rPr>
                            <w:t>Öffentlich zugängig</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139228A4">
              <v:stroke joinstyle="miter"/>
              <v:path gradientshapeok="t" o:connecttype="rect"/>
            </v:shapetype>
            <v:shape id="MSIPCM1735474393f91ab84a01dd4f"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589026337,&quot;Height&quot;:792.0,&quot;Width&quot;:612.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">
              <v:textbox inset="20pt,0,,0">
                <w:txbxContent>
                  <w:p w:rsidRPr="00C14AD7" w:rsidR="00D90B81" w:rsidP="00C14AD7" w:rsidRDefault="00C14AD7" w14:paraId="59211B68" w14:textId="1A49F61E">
                    <w:pPr>
                      <w:spacing w:after="0"/>
                      <w:rPr>
                        <w:rFonts w:ascii="Calibri" w:hAnsi="Calibri" w:cs="Calibri"/>
                        <w:color w:val="03C03C"/>
                        <w:sz w:val="24"/>
                      </w:rPr>
                    </w:pPr>
                    <w:r>
                      <w:rPr>
                        <w:color w:val="03C03C"/>
                        <w:sz w:val="24"/>
                        <w:rFonts w:ascii="Calibri"/>
                      </w:rPr>
                      <w:t>Öffentlich zugängig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2">
    <w:nsid w:val="16de2d2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5e1dca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5C47BE"/>
    <w:multiLevelType w:val="hybridMultilevel"/>
    <w:tmpl w:val="B686C492"/>
    <w:lvl w:ilvl="0" w:tplc="866C6E44">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D45EE9"/>
    <w:multiLevelType w:val="hybridMultilevel"/>
    <w:tmpl w:val="14B24C78"/>
    <w:lvl w:ilvl="0" w:tplc="08AC0B8A">
      <w:start w:val="12"/>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2984F08A">
      <w:start w:val="1"/>
      <w:numFmt w:val="lowerLetter"/>
      <w:lvlText w:val="%2."/>
      <w:lvlJc w:val="left"/>
      <w:pPr>
        <w:ind w:left="81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2" w:tplc="3F029FE8">
      <w:start w:val="1"/>
      <w:numFmt w:val="lowerRoman"/>
      <w:lvlText w:val="%3"/>
      <w:lvlJc w:val="left"/>
      <w:pPr>
        <w:ind w:left="120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0598F002">
      <w:start w:val="1"/>
      <w:numFmt w:val="decimal"/>
      <w:lvlText w:val="%4"/>
      <w:lvlJc w:val="left"/>
      <w:pPr>
        <w:ind w:left="192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2DFA3402">
      <w:start w:val="1"/>
      <w:numFmt w:val="lowerLetter"/>
      <w:lvlText w:val="%5"/>
      <w:lvlJc w:val="left"/>
      <w:pPr>
        <w:ind w:left="264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9AC4EAE2">
      <w:start w:val="1"/>
      <w:numFmt w:val="lowerRoman"/>
      <w:lvlText w:val="%6"/>
      <w:lvlJc w:val="left"/>
      <w:pPr>
        <w:ind w:left="336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69204A1A">
      <w:start w:val="1"/>
      <w:numFmt w:val="decimal"/>
      <w:lvlText w:val="%7"/>
      <w:lvlJc w:val="left"/>
      <w:pPr>
        <w:ind w:left="408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488ED526">
      <w:start w:val="1"/>
      <w:numFmt w:val="lowerLetter"/>
      <w:lvlText w:val="%8"/>
      <w:lvlJc w:val="left"/>
      <w:pPr>
        <w:ind w:left="480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8D1C0D36">
      <w:start w:val="1"/>
      <w:numFmt w:val="lowerRoman"/>
      <w:lvlText w:val="%9"/>
      <w:lvlJc w:val="left"/>
      <w:pPr>
        <w:ind w:left="552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14E544EB"/>
    <w:multiLevelType w:val="hybridMultilevel"/>
    <w:tmpl w:val="0C66105E"/>
    <w:lvl w:ilvl="0" w:tplc="EBACC3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A4FCB"/>
    <w:multiLevelType w:val="hybridMultilevel"/>
    <w:tmpl w:val="02DAE59C"/>
    <w:lvl w:ilvl="0" w:tplc="79925622">
      <w:start w:val="1"/>
      <w:numFmt w:val="decimal"/>
      <w:lvlText w:val="%1"/>
      <w:lvlJc w:val="left"/>
      <w:pPr>
        <w:ind w:left="3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1" w:tplc="C57A8696">
      <w:start w:val="1"/>
      <w:numFmt w:val="lowerLetter"/>
      <w:lvlText w:val="%2"/>
      <w:lvlJc w:val="left"/>
      <w:pPr>
        <w:ind w:left="7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2" w:tplc="1A42B40A">
      <w:start w:val="1"/>
      <w:numFmt w:val="lowerLetter"/>
      <w:lvlRestart w:val="0"/>
      <w:lvlText w:val="%3."/>
      <w:lvlJc w:val="left"/>
      <w:pPr>
        <w:ind w:left="1078"/>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3" w:tplc="B9580F52">
      <w:start w:val="1"/>
      <w:numFmt w:val="decimal"/>
      <w:lvlText w:val="%4"/>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20662AF4">
      <w:start w:val="1"/>
      <w:numFmt w:val="lowerLetter"/>
      <w:lvlText w:val="%5"/>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4FAE4086">
      <w:start w:val="1"/>
      <w:numFmt w:val="lowerRoman"/>
      <w:lvlText w:val="%6"/>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A118B124">
      <w:start w:val="1"/>
      <w:numFmt w:val="decimal"/>
      <w:lvlText w:val="%7"/>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2C88A7FC">
      <w:start w:val="1"/>
      <w:numFmt w:val="lowerLetter"/>
      <w:lvlText w:val="%8"/>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FE56B688">
      <w:start w:val="1"/>
      <w:numFmt w:val="lowerRoman"/>
      <w:lvlText w:val="%9"/>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20552398"/>
    <w:multiLevelType w:val="hybridMultilevel"/>
    <w:tmpl w:val="7BA60438"/>
    <w:lvl w:ilvl="0" w:tplc="EBACC3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43C8B594">
      <w:start w:val="1"/>
      <w:numFmt w:val="upperLetter"/>
      <w:lvlText w:val="%3."/>
      <w:lvlJc w:val="left"/>
      <w:pPr>
        <w:ind w:left="450" w:hanging="360"/>
      </w:pPr>
      <w:rPr>
        <w:rFonts w:hint="default"/>
      </w:rPr>
    </w:lvl>
    <w:lvl w:ilvl="3" w:tplc="537E7336">
      <w:start w:val="1"/>
      <w:numFmt w:val="lowerLetter"/>
      <w:lvlText w:val="(%4)"/>
      <w:lvlJc w:val="left"/>
      <w:pPr>
        <w:ind w:left="189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A2810"/>
    <w:multiLevelType w:val="multilevel"/>
    <w:tmpl w:val="7C52C646"/>
    <w:lvl w:ilvl="0">
      <w:start w:val="3"/>
      <w:numFmt w:val="decimal"/>
      <w:lvlText w:val="%1."/>
      <w:lvlJc w:val="left"/>
      <w:pPr>
        <w:ind w:left="480" w:hanging="480"/>
      </w:pPr>
      <w:rPr>
        <w:rFonts w:hint="default"/>
      </w:rPr>
    </w:lvl>
    <w:lvl w:ilvl="1">
      <w:start w:val="1"/>
      <w:numFmt w:val="decimalZero"/>
      <w:lvlText w:val="%1.%2."/>
      <w:lvlJc w:val="left"/>
      <w:pPr>
        <w:ind w:left="1512" w:hanging="792"/>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DC653A9"/>
    <w:multiLevelType w:val="hybridMultilevel"/>
    <w:tmpl w:val="D3FACEC6"/>
    <w:lvl w:ilvl="0" w:tplc="1EEEEE94">
      <w:start w:val="1"/>
      <w:numFmt w:val="upperLetter"/>
      <w:pStyle w:val="Recitals"/>
      <w:lvlText w:val="%1."/>
      <w:lvlJc w:val="left"/>
      <w:pPr>
        <w:tabs>
          <w:tab w:val="num" w:pos="907"/>
        </w:tabs>
        <w:ind w:left="851" w:hanging="851"/>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90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EF23C39"/>
    <w:multiLevelType w:val="hybridMultilevel"/>
    <w:tmpl w:val="0C66105E"/>
    <w:styleLink w:val="CovingtonHeadings1"/>
    <w:lvl w:ilvl="0" w:tplc="EBACC38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B64B1F"/>
    <w:multiLevelType w:val="hybridMultilevel"/>
    <w:tmpl w:val="0C66105E"/>
    <w:lvl w:ilvl="0" w:tplc="EBACC38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35D79"/>
    <w:multiLevelType w:val="multilevel"/>
    <w:tmpl w:val="8D6858D0"/>
    <w:lvl w:ilvl="0">
      <w:start w:val="9"/>
      <w:numFmt w:val="decimal"/>
      <w:lvlText w:val="Section %1)"/>
      <w:lvlJc w:val="left"/>
      <w:pPr>
        <w:tabs>
          <w:tab w:val="num" w:pos="360"/>
        </w:tabs>
        <w:ind w:left="360" w:hanging="360"/>
      </w:pPr>
      <w:rPr>
        <w:rFonts w:hint="default"/>
        <w:b/>
        <w:i w:val="0"/>
        <w:u w:val="none"/>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i w:val="0"/>
      </w:rPr>
    </w:lvl>
    <w:lvl w:ilvl="3">
      <w:start w:val="1"/>
      <w:numFmt w:val="upperLetter"/>
      <w:lvlText w:val="(%4)"/>
      <w:lvlJc w:val="left"/>
      <w:pPr>
        <w:tabs>
          <w:tab w:val="num" w:pos="1440"/>
        </w:tabs>
        <w:ind w:left="1440" w:hanging="360"/>
      </w:pPr>
      <w:rPr>
        <w:rFonts w:hint="default"/>
        <w:i w:val="0"/>
      </w:rPr>
    </w:lvl>
    <w:lvl w:ilvl="4">
      <w:start w:val="1"/>
      <w:numFmt w:val="upp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792" w:hanging="432"/>
      </w:pPr>
      <w:rPr>
        <w:rFonts w:hint="default"/>
      </w:rPr>
    </w:lvl>
    <w:lvl w:ilvl="7">
      <w:start w:val="1"/>
      <w:numFmt w:val="lowerLetter"/>
      <w:lvlText w:val="%8."/>
      <w:lvlJc w:val="left"/>
      <w:pPr>
        <w:tabs>
          <w:tab w:val="num" w:pos="3510"/>
        </w:tabs>
        <w:ind w:left="1710" w:hanging="360"/>
      </w:pPr>
      <w:rPr>
        <w:rFonts w:hint="default"/>
      </w:rPr>
    </w:lvl>
    <w:lvl w:ilvl="8">
      <w:start w:val="1"/>
      <w:numFmt w:val="lowerRoman"/>
      <w:lvlText w:val="%9."/>
      <w:lvlJc w:val="left"/>
      <w:pPr>
        <w:tabs>
          <w:tab w:val="num" w:pos="540"/>
        </w:tabs>
        <w:ind w:left="540" w:hanging="360"/>
      </w:pPr>
      <w:rPr>
        <w:rFonts w:hint="default"/>
      </w:rPr>
    </w:lvl>
  </w:abstractNum>
  <w:abstractNum w:abstractNumId="10" w15:restartNumberingAfterBreak="0">
    <w:nsid w:val="38BC4F4D"/>
    <w:multiLevelType w:val="multilevel"/>
    <w:tmpl w:val="E1FACD58"/>
    <w:lvl w:ilvl="0">
      <w:start w:val="3"/>
      <w:numFmt w:val="decimal"/>
      <w:lvlText w:val="%1."/>
      <w:lvlJc w:val="left"/>
      <w:pPr>
        <w:ind w:left="480" w:hanging="480"/>
      </w:pPr>
      <w:rPr>
        <w:rFonts w:hint="default"/>
      </w:rPr>
    </w:lvl>
    <w:lvl w:ilvl="1">
      <w:start w:val="1"/>
      <w:numFmt w:val="lowerRoman"/>
      <w:lvlText w:val="%2."/>
      <w:lvlJc w:val="right"/>
      <w:pPr>
        <w:ind w:left="2322" w:hanging="792"/>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9972128"/>
    <w:multiLevelType w:val="hybridMultilevel"/>
    <w:tmpl w:val="46A6AA8C"/>
    <w:lvl w:ilvl="0" w:tplc="45740526">
      <w:start w:val="9"/>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DA4063A4">
      <w:start w:val="1"/>
      <w:numFmt w:val="lowerLetter"/>
      <w:lvlText w:val="%2"/>
      <w:lvlJc w:val="left"/>
      <w:pPr>
        <w:ind w:left="10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2" w:tplc="F9FAA60C">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8576AA10">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9F0AEA72">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DFDE0A6C">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4AB8EA48">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4D5297FA">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C55AA358">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3A11502B"/>
    <w:multiLevelType w:val="hybridMultilevel"/>
    <w:tmpl w:val="19AC6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7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E9A5A2E"/>
    <w:multiLevelType w:val="multilevel"/>
    <w:tmpl w:val="170A2732"/>
    <w:lvl w:ilvl="0">
      <w:start w:val="3"/>
      <w:numFmt w:val="decimal"/>
      <w:lvlText w:val="%1."/>
      <w:lvlJc w:val="left"/>
      <w:pPr>
        <w:ind w:left="360" w:hanging="360"/>
      </w:pPr>
      <w:rPr>
        <w:rFonts w:hint="default" w:ascii="Times New Roman" w:hAnsi="Times New Roman" w:cs="Times New Roman"/>
        <w:i w:val="0"/>
        <w:iCs w:val="0"/>
        <w:sz w:val="22"/>
        <w:szCs w:val="22"/>
      </w:rPr>
    </w:lvl>
    <w:lvl w:ilvl="1">
      <w:start w:val="1"/>
      <w:numFmt w:val="lowerLetter"/>
      <w:lvlText w:val="%2)"/>
      <w:lvlJc w:val="left"/>
      <w:pPr>
        <w:ind w:left="360" w:hanging="360"/>
      </w:pPr>
      <w:rPr>
        <w:rFonts w:hint="default"/>
      </w:rPr>
    </w:lvl>
    <w:lvl w:ilvl="2">
      <w:start w:val="1"/>
      <w:numFmt w:val="lowerRoman"/>
      <w:lvlText w:val="%3."/>
      <w:lvlJc w:val="right"/>
      <w:pPr>
        <w:ind w:left="594" w:hanging="14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F62DEE"/>
    <w:multiLevelType w:val="multilevel"/>
    <w:tmpl w:val="9F808920"/>
    <w:lvl w:ilvl="0">
      <w:start w:val="3"/>
      <w:numFmt w:val="decimal"/>
      <w:lvlText w:val="%1."/>
      <w:lvlJc w:val="left"/>
      <w:pPr>
        <w:ind w:left="450" w:hanging="450"/>
      </w:pPr>
      <w:rPr>
        <w:rFonts w:hint="default"/>
      </w:rPr>
    </w:lvl>
    <w:lvl w:ilvl="1">
      <w:start w:val="1"/>
      <w:numFmt w:val="decimalZero"/>
      <w:lvlText w:val="%1.%2."/>
      <w:lvlJc w:val="left"/>
      <w:pPr>
        <w:ind w:left="450" w:hanging="450"/>
      </w:pPr>
      <w:rPr>
        <w:rFonts w:hint="default"/>
      </w:rPr>
    </w:lvl>
    <w:lvl w:ilvl="2">
      <w:start w:val="1"/>
      <w:numFmt w:val="lowerLetter"/>
      <w:lvlText w:val="(%3)"/>
      <w:lvlJc w:val="left"/>
      <w:pPr>
        <w:ind w:left="1170" w:hanging="720"/>
      </w:pPr>
      <w:rPr>
        <w:rFonts w:ascii="Times New Roman" w:hAnsi="Times New Roman" w:cs="Times New Roman" w:eastAsiaTheme="min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BA13AC"/>
    <w:multiLevelType w:val="hybridMultilevel"/>
    <w:tmpl w:val="E8965ECE"/>
    <w:lvl w:ilvl="0" w:tplc="0409000F">
      <w:start w:val="1"/>
      <w:numFmt w:val="decimal"/>
      <w:lvlText w:val="%1."/>
      <w:lvlJc w:val="left"/>
      <w:pPr>
        <w:ind w:left="360" w:hanging="360"/>
      </w:pPr>
      <w:rPr>
        <w:rFonts w:hint="default"/>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start w:val="1"/>
      <w:numFmt w:val="decimal"/>
      <w:lvlText w:val="%7."/>
      <w:lvlJc w:val="left"/>
      <w:pPr>
        <w:ind w:left="72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D4A4563"/>
    <w:multiLevelType w:val="multilevel"/>
    <w:tmpl w:val="11C4FC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792" w:hanging="432"/>
      </w:pPr>
      <w:rPr>
        <w:rFonts w:hint="default"/>
      </w:rPr>
    </w:lvl>
    <w:lvl w:ilvl="7">
      <w:start w:val="1"/>
      <w:numFmt w:val="lowerLetter"/>
      <w:lvlText w:val="%8."/>
      <w:lvlJc w:val="left"/>
      <w:pPr>
        <w:tabs>
          <w:tab w:val="num" w:pos="2880"/>
        </w:tabs>
        <w:ind w:left="1080" w:hanging="360"/>
      </w:pPr>
      <w:rPr>
        <w:rFonts w:hint="default"/>
      </w:rPr>
    </w:lvl>
    <w:lvl w:ilvl="8">
      <w:start w:val="1"/>
      <w:numFmt w:val="lowerRoman"/>
      <w:lvlText w:val="%9."/>
      <w:lvlJc w:val="left"/>
      <w:pPr>
        <w:tabs>
          <w:tab w:val="num" w:pos="3240"/>
        </w:tabs>
        <w:ind w:left="2304" w:hanging="576"/>
      </w:pPr>
      <w:rPr>
        <w:rFonts w:hint="default"/>
      </w:rPr>
    </w:lvl>
  </w:abstractNum>
  <w:abstractNum w:abstractNumId="17" w15:restartNumberingAfterBreak="0">
    <w:nsid w:val="4F094CD7"/>
    <w:multiLevelType w:val="hybridMultilevel"/>
    <w:tmpl w:val="839A5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11654"/>
    <w:multiLevelType w:val="hybridMultilevel"/>
    <w:tmpl w:val="70A26D70"/>
    <w:lvl w:ilvl="0" w:tplc="04090001">
      <w:start w:val="1"/>
      <w:numFmt w:val="bullet"/>
      <w:lvlText w:val=""/>
      <w:lvlJc w:val="left"/>
      <w:pPr>
        <w:ind w:left="540" w:hanging="360"/>
      </w:pPr>
      <w:rPr>
        <w:rFonts w:hint="default" w:ascii="Symbol" w:hAnsi="Symbol"/>
      </w:rPr>
    </w:lvl>
    <w:lvl w:ilvl="1" w:tplc="04090003">
      <w:start w:val="1"/>
      <w:numFmt w:val="bullet"/>
      <w:lvlText w:val="o"/>
      <w:lvlJc w:val="left"/>
      <w:pPr>
        <w:ind w:left="1260" w:hanging="360"/>
      </w:pPr>
      <w:rPr>
        <w:rFonts w:hint="default" w:ascii="Courier New" w:hAnsi="Courier New" w:cs="Courier New"/>
      </w:rPr>
    </w:lvl>
    <w:lvl w:ilvl="2" w:tplc="04090005">
      <w:start w:val="1"/>
      <w:numFmt w:val="bullet"/>
      <w:lvlText w:val=""/>
      <w:lvlJc w:val="left"/>
      <w:pPr>
        <w:ind w:left="1980" w:hanging="360"/>
      </w:pPr>
      <w:rPr>
        <w:rFonts w:hint="default" w:ascii="Wingdings" w:hAnsi="Wingdings"/>
      </w:rPr>
    </w:lvl>
    <w:lvl w:ilvl="3" w:tplc="04090001">
      <w:start w:val="1"/>
      <w:numFmt w:val="bullet"/>
      <w:lvlText w:val=""/>
      <w:lvlJc w:val="left"/>
      <w:pPr>
        <w:ind w:left="2700" w:hanging="360"/>
      </w:pPr>
      <w:rPr>
        <w:rFonts w:hint="default" w:ascii="Symbol" w:hAnsi="Symbol"/>
      </w:rPr>
    </w:lvl>
    <w:lvl w:ilvl="4" w:tplc="04090003">
      <w:start w:val="1"/>
      <w:numFmt w:val="bullet"/>
      <w:lvlText w:val="o"/>
      <w:lvlJc w:val="left"/>
      <w:pPr>
        <w:ind w:left="3420" w:hanging="360"/>
      </w:pPr>
      <w:rPr>
        <w:rFonts w:hint="default" w:ascii="Courier New" w:hAnsi="Courier New" w:cs="Courier New"/>
      </w:rPr>
    </w:lvl>
    <w:lvl w:ilvl="5" w:tplc="04090005">
      <w:start w:val="1"/>
      <w:numFmt w:val="bullet"/>
      <w:lvlText w:val=""/>
      <w:lvlJc w:val="left"/>
      <w:pPr>
        <w:ind w:left="4140" w:hanging="360"/>
      </w:pPr>
      <w:rPr>
        <w:rFonts w:hint="default" w:ascii="Wingdings" w:hAnsi="Wingdings"/>
      </w:rPr>
    </w:lvl>
    <w:lvl w:ilvl="6" w:tplc="04090001">
      <w:start w:val="1"/>
      <w:numFmt w:val="bullet"/>
      <w:lvlText w:val=""/>
      <w:lvlJc w:val="left"/>
      <w:pPr>
        <w:ind w:left="4860" w:hanging="360"/>
      </w:pPr>
      <w:rPr>
        <w:rFonts w:hint="default" w:ascii="Symbol" w:hAnsi="Symbol"/>
      </w:rPr>
    </w:lvl>
    <w:lvl w:ilvl="7" w:tplc="04090003">
      <w:start w:val="1"/>
      <w:numFmt w:val="bullet"/>
      <w:lvlText w:val="o"/>
      <w:lvlJc w:val="left"/>
      <w:pPr>
        <w:ind w:left="5580" w:hanging="360"/>
      </w:pPr>
      <w:rPr>
        <w:rFonts w:hint="default" w:ascii="Courier New" w:hAnsi="Courier New" w:cs="Courier New"/>
      </w:rPr>
    </w:lvl>
    <w:lvl w:ilvl="8" w:tplc="04090005">
      <w:start w:val="1"/>
      <w:numFmt w:val="bullet"/>
      <w:lvlText w:val=""/>
      <w:lvlJc w:val="left"/>
      <w:pPr>
        <w:ind w:left="6300" w:hanging="360"/>
      </w:pPr>
      <w:rPr>
        <w:rFonts w:hint="default" w:ascii="Wingdings" w:hAnsi="Wingdings"/>
      </w:rPr>
    </w:lvl>
  </w:abstractNum>
  <w:abstractNum w:abstractNumId="19" w15:restartNumberingAfterBreak="0">
    <w:nsid w:val="554D43A8"/>
    <w:multiLevelType w:val="hybridMultilevel"/>
    <w:tmpl w:val="D3AC2338"/>
    <w:lvl w:ilvl="0" w:tplc="7324B060">
      <w:start w:val="1"/>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2604DB92">
      <w:start w:val="1"/>
      <w:numFmt w:val="lowerLetter"/>
      <w:lvlText w:val="%2"/>
      <w:lvlJc w:val="left"/>
      <w:pPr>
        <w:ind w:left="10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2" w:tplc="0FC69AE6">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CE5AE7A2">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BAD61E36">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62FCD5F8">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0BF03C30">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5C6C3480">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8B9E9F9E">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20" w15:restartNumberingAfterBreak="0">
    <w:nsid w:val="56B94486"/>
    <w:multiLevelType w:val="hybridMultilevel"/>
    <w:tmpl w:val="724C54A4"/>
    <w:lvl w:ilvl="0" w:tplc="8228D51E">
      <w:start w:val="1"/>
      <w:numFmt w:val="decimal"/>
      <w:pStyle w:val="Parties"/>
      <w:lvlText w:val="%1."/>
      <w:lvlJc w:val="left"/>
      <w:pPr>
        <w:tabs>
          <w:tab w:val="num" w:pos="851"/>
        </w:tabs>
        <w:ind w:left="851" w:hanging="851"/>
      </w:pPr>
      <w:rPr>
        <w:color w:val="4472C4"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C36611"/>
    <w:multiLevelType w:val="hybridMultilevel"/>
    <w:tmpl w:val="D16EE6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8909F2"/>
    <w:multiLevelType w:val="hybridMultilevel"/>
    <w:tmpl w:val="24403612"/>
    <w:lvl w:ilvl="0" w:tplc="5F860BB2">
      <w:start w:val="1"/>
      <w:numFmt w:val="decimal"/>
      <w:lvlText w:val="%1."/>
      <w:lvlJc w:val="left"/>
      <w:pPr>
        <w:ind w:left="720" w:hanging="360"/>
      </w:pPr>
      <w:rPr>
        <w:rFonts w:hint="default"/>
        <w:b/>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B36F5E"/>
    <w:multiLevelType w:val="hybridMultilevel"/>
    <w:tmpl w:val="805CDD7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FD17C04"/>
    <w:multiLevelType w:val="multilevel"/>
    <w:tmpl w:val="F8928686"/>
    <w:lvl w:ilvl="0">
      <w:start w:val="11"/>
      <w:numFmt w:val="decimal"/>
      <w:lvlText w:val="Section %1)"/>
      <w:lvlJc w:val="left"/>
      <w:pPr>
        <w:tabs>
          <w:tab w:val="num" w:pos="360"/>
        </w:tabs>
        <w:ind w:left="360" w:hanging="360"/>
      </w:pPr>
      <w:rPr>
        <w:rFonts w:hint="default"/>
        <w:b/>
        <w:i w:val="0"/>
        <w:u w:val="none"/>
      </w:rPr>
    </w:lvl>
    <w:lvl w:ilvl="1">
      <w:start w:val="1"/>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i w:val="0"/>
      </w:rPr>
    </w:lvl>
    <w:lvl w:ilvl="3">
      <w:start w:val="1"/>
      <w:numFmt w:val="upperLetter"/>
      <w:lvlText w:val="(%4)"/>
      <w:lvlJc w:val="left"/>
      <w:pPr>
        <w:tabs>
          <w:tab w:val="num" w:pos="1440"/>
        </w:tabs>
        <w:ind w:left="1440" w:hanging="360"/>
      </w:pPr>
      <w:rPr>
        <w:rFonts w:hint="default"/>
        <w:i w:val="0"/>
      </w:rPr>
    </w:lvl>
    <w:lvl w:ilvl="4">
      <w:start w:val="1"/>
      <w:numFmt w:val="upperRoman"/>
      <w:lvlText w:val="(%5)"/>
      <w:lvlJc w:val="left"/>
      <w:pPr>
        <w:tabs>
          <w:tab w:val="num" w:pos="1800"/>
        </w:tabs>
        <w:ind w:left="1800" w:hanging="360"/>
      </w:pPr>
      <w:rPr>
        <w:rFonts w:hint="default"/>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792" w:hanging="432"/>
      </w:pPr>
      <w:rPr>
        <w:rFonts w:hint="default"/>
      </w:rPr>
    </w:lvl>
    <w:lvl w:ilvl="7">
      <w:start w:val="1"/>
      <w:numFmt w:val="lowerLetter"/>
      <w:lvlText w:val="%8."/>
      <w:lvlJc w:val="left"/>
      <w:pPr>
        <w:tabs>
          <w:tab w:val="num" w:pos="2880"/>
        </w:tabs>
        <w:ind w:left="10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3542052"/>
    <w:multiLevelType w:val="multilevel"/>
    <w:tmpl w:val="E18085F6"/>
    <w:lvl w:ilvl="0">
      <w:start w:val="3"/>
      <w:numFmt w:val="decimal"/>
      <w:lvlText w:val="%1."/>
      <w:lvlJc w:val="left"/>
      <w:pPr>
        <w:ind w:left="450" w:hanging="450"/>
      </w:pPr>
      <w:rPr>
        <w:rFonts w:hint="default"/>
      </w:rPr>
    </w:lvl>
    <w:lvl w:ilvl="1">
      <w:start w:val="1"/>
      <w:numFmt w:val="decimalZero"/>
      <w:lvlText w:val="%1.%2."/>
      <w:lvlJc w:val="left"/>
      <w:pPr>
        <w:ind w:left="450" w:hanging="450"/>
      </w:pPr>
      <w:rPr>
        <w:rFonts w:hint="default"/>
      </w:rPr>
    </w:lvl>
    <w:lvl w:ilvl="2">
      <w:start w:val="1"/>
      <w:numFmt w:val="lowerLetter"/>
      <w:lvlText w:val="(%3)"/>
      <w:lvlJc w:val="left"/>
      <w:pPr>
        <w:ind w:left="1170" w:hanging="720"/>
      </w:pPr>
      <w:rPr>
        <w:rFonts w:ascii="Times New Roman" w:hAnsi="Times New Roman" w:cs="Times New Roman" w:eastAsiaTheme="min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C1776A"/>
    <w:multiLevelType w:val="hybridMultilevel"/>
    <w:tmpl w:val="1D1287E4"/>
    <w:lvl w:ilvl="0" w:tplc="B0CAD9D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920EFE"/>
    <w:multiLevelType w:val="hybridMultilevel"/>
    <w:tmpl w:val="D1149B3A"/>
    <w:lvl w:ilvl="0" w:tplc="7894313A">
      <w:start w:val="16"/>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A7108DEE">
      <w:start w:val="1"/>
      <w:numFmt w:val="lowerLetter"/>
      <w:lvlText w:val="%2."/>
      <w:lvlJc w:val="left"/>
      <w:pPr>
        <w:ind w:left="1078"/>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2" w:tplc="6DA860BE">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B4F2190A">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DD4669F0">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8174A262">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FA48281C">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36C0BB98">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448AF2B6">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28" w15:restartNumberingAfterBreak="0">
    <w:nsid w:val="778C0EE3"/>
    <w:multiLevelType w:val="hybridMultilevel"/>
    <w:tmpl w:val="B450E978"/>
    <w:lvl w:ilvl="0" w:tplc="30DAA59C">
      <w:start w:val="1"/>
      <w:numFmt w:val="decimal"/>
      <w:lvlText w:val="%1."/>
      <w:lvlJc w:val="left"/>
      <w:pPr>
        <w:ind w:left="720" w:hanging="360"/>
      </w:pPr>
    </w:lvl>
    <w:lvl w:ilvl="1" w:tplc="BFD00A88">
      <w:start w:val="1"/>
      <w:numFmt w:val="lowerLetter"/>
      <w:lvlText w:val="%2."/>
      <w:lvlJc w:val="left"/>
      <w:pPr>
        <w:ind w:left="1440" w:hanging="360"/>
      </w:pPr>
    </w:lvl>
    <w:lvl w:ilvl="2" w:tplc="67AA7AA0">
      <w:start w:val="1"/>
      <w:numFmt w:val="lowerRoman"/>
      <w:lvlText w:val="%3."/>
      <w:lvlJc w:val="right"/>
      <w:pPr>
        <w:ind w:left="2160" w:hanging="180"/>
      </w:pPr>
    </w:lvl>
    <w:lvl w:ilvl="3" w:tplc="DAB03150">
      <w:start w:val="1"/>
      <w:numFmt w:val="decimal"/>
      <w:lvlText w:val="%4."/>
      <w:lvlJc w:val="left"/>
      <w:pPr>
        <w:ind w:left="2880" w:hanging="360"/>
      </w:pPr>
    </w:lvl>
    <w:lvl w:ilvl="4" w:tplc="20BE8FD2">
      <w:start w:val="1"/>
      <w:numFmt w:val="lowerLetter"/>
      <w:lvlText w:val="%5."/>
      <w:lvlJc w:val="left"/>
      <w:pPr>
        <w:ind w:left="3600" w:hanging="360"/>
      </w:pPr>
    </w:lvl>
    <w:lvl w:ilvl="5" w:tplc="EEA27BBC">
      <w:start w:val="1"/>
      <w:numFmt w:val="lowerRoman"/>
      <w:lvlText w:val="%6."/>
      <w:lvlJc w:val="right"/>
      <w:pPr>
        <w:ind w:left="4320" w:hanging="180"/>
      </w:pPr>
    </w:lvl>
    <w:lvl w:ilvl="6" w:tplc="40FA0ED6">
      <w:start w:val="1"/>
      <w:numFmt w:val="decimal"/>
      <w:lvlText w:val="%7."/>
      <w:lvlJc w:val="left"/>
      <w:pPr>
        <w:ind w:left="5040" w:hanging="360"/>
      </w:pPr>
    </w:lvl>
    <w:lvl w:ilvl="7" w:tplc="AD80A904">
      <w:start w:val="1"/>
      <w:numFmt w:val="lowerLetter"/>
      <w:lvlText w:val="%8."/>
      <w:lvlJc w:val="left"/>
      <w:pPr>
        <w:ind w:left="5760" w:hanging="360"/>
      </w:pPr>
    </w:lvl>
    <w:lvl w:ilvl="8" w:tplc="907A04EC">
      <w:start w:val="1"/>
      <w:numFmt w:val="lowerRoman"/>
      <w:lvlText w:val="%9."/>
      <w:lvlJc w:val="right"/>
      <w:pPr>
        <w:ind w:left="6480" w:hanging="180"/>
      </w:pPr>
    </w:lvl>
  </w:abstractNum>
  <w:abstractNum w:abstractNumId="29" w15:restartNumberingAfterBreak="0">
    <w:nsid w:val="77AF3B9C"/>
    <w:multiLevelType w:val="multilevel"/>
    <w:tmpl w:val="A4D61D3C"/>
    <w:lvl w:ilvl="0">
      <w:start w:val="11"/>
      <w:numFmt w:val="decimal"/>
      <w:lvlText w:val="Section %1)"/>
      <w:lvlJc w:val="left"/>
      <w:pPr>
        <w:tabs>
          <w:tab w:val="num" w:pos="360"/>
        </w:tabs>
        <w:ind w:left="360" w:hanging="360"/>
      </w:pPr>
      <w:rPr>
        <w:rFonts w:hint="default"/>
        <w:b/>
        <w:i w:val="0"/>
        <w:u w:val="none"/>
      </w:rPr>
    </w:lvl>
    <w:lvl w:ilvl="1">
      <w:start w:val="5"/>
      <w:numFmt w:val="lowerLetter"/>
      <w:lvlText w:val="%2)"/>
      <w:lvlJc w:val="left"/>
      <w:pPr>
        <w:tabs>
          <w:tab w:val="num" w:pos="720"/>
        </w:tabs>
        <w:ind w:left="720" w:hanging="360"/>
      </w:pPr>
      <w:rPr>
        <w:rFonts w:hint="default"/>
        <w:i w:val="0"/>
      </w:rPr>
    </w:lvl>
    <w:lvl w:ilvl="2">
      <w:start w:val="1"/>
      <w:numFmt w:val="lowerRoman"/>
      <w:lvlText w:val="%3)"/>
      <w:lvlJc w:val="left"/>
      <w:pPr>
        <w:tabs>
          <w:tab w:val="num" w:pos="1080"/>
        </w:tabs>
        <w:ind w:left="1080" w:hanging="360"/>
      </w:pPr>
      <w:rPr>
        <w:rFonts w:hint="default"/>
        <w:i w:val="0"/>
      </w:rPr>
    </w:lvl>
    <w:lvl w:ilvl="3">
      <w:start w:val="1"/>
      <w:numFmt w:val="upperLetter"/>
      <w:lvlText w:val="(%4)"/>
      <w:lvlJc w:val="left"/>
      <w:pPr>
        <w:tabs>
          <w:tab w:val="num" w:pos="1440"/>
        </w:tabs>
        <w:ind w:left="1440" w:hanging="360"/>
      </w:pPr>
      <w:rPr>
        <w:rFonts w:hint="default"/>
        <w:i w:val="0"/>
      </w:rPr>
    </w:lvl>
    <w:lvl w:ilvl="4">
      <w:start w:val="1"/>
      <w:numFmt w:val="upperRoman"/>
      <w:lvlText w:val="(%5)"/>
      <w:lvlJc w:val="left"/>
      <w:pPr>
        <w:tabs>
          <w:tab w:val="num" w:pos="1800"/>
        </w:tabs>
        <w:ind w:left="1800" w:hanging="360"/>
      </w:pPr>
      <w:rPr>
        <w:rFonts w:hint="default"/>
        <w:i w:val="0"/>
      </w:rPr>
    </w:lvl>
    <w:lvl w:ilvl="5">
      <w:start w:val="1"/>
      <w:numFmt w:val="lowerRoman"/>
      <w:lvlText w:val="(%6)"/>
      <w:lvlJc w:val="left"/>
      <w:pPr>
        <w:tabs>
          <w:tab w:val="num" w:pos="2160"/>
        </w:tabs>
        <w:ind w:left="2160" w:hanging="360"/>
      </w:pPr>
      <w:rPr>
        <w:rFonts w:hint="default"/>
      </w:rPr>
    </w:lvl>
    <w:lvl w:ilvl="6">
      <w:start w:val="3"/>
      <w:numFmt w:val="decimal"/>
      <w:lvlText w:val="%7."/>
      <w:lvlJc w:val="left"/>
      <w:pPr>
        <w:tabs>
          <w:tab w:val="num" w:pos="2160"/>
        </w:tabs>
        <w:ind w:left="432" w:hanging="432"/>
      </w:pPr>
      <w:rPr>
        <w:rFonts w:hint="default"/>
      </w:rPr>
    </w:lvl>
    <w:lvl w:ilvl="7">
      <w:start w:val="1"/>
      <w:numFmt w:val="lowerLetter"/>
      <w:lvlText w:val="%8."/>
      <w:lvlJc w:val="left"/>
      <w:pPr>
        <w:tabs>
          <w:tab w:val="num" w:pos="2880"/>
        </w:tabs>
        <w:ind w:left="10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A916FEF"/>
    <w:multiLevelType w:val="hybridMultilevel"/>
    <w:tmpl w:val="A6A6A566"/>
    <w:lvl w:ilvl="0" w:tplc="B3B4AC7E">
      <w:start w:val="3"/>
      <w:numFmt w:val="decimal"/>
      <w:lvlText w:val="%1."/>
      <w:lvlJc w:val="left"/>
      <w:pPr>
        <w:ind w:left="454"/>
      </w:pPr>
      <w:rPr>
        <w:rFonts w:hint="default" w:ascii="Times New Roman" w:hAnsi="Times New Roman" w:eastAsia="Verdana" w:cs="Times New Roman"/>
        <w:b w:val="0"/>
        <w:i w:val="0"/>
        <w:strike w:val="0"/>
        <w:dstrike w:val="0"/>
        <w:color w:val="000000"/>
        <w:sz w:val="22"/>
        <w:szCs w:val="22"/>
        <w:u w:val="none" w:color="000000"/>
        <w:bdr w:val="none" w:color="auto" w:sz="0" w:space="0"/>
        <w:shd w:val="clear" w:color="auto" w:fill="auto"/>
        <w:vertAlign w:val="baseline"/>
      </w:rPr>
    </w:lvl>
    <w:lvl w:ilvl="1" w:tplc="A5B6B86C">
      <w:start w:val="1"/>
      <w:numFmt w:val="lowerLetter"/>
      <w:lvlText w:val="%2"/>
      <w:lvlJc w:val="left"/>
      <w:pPr>
        <w:ind w:left="10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2" w:tplc="866C462E">
      <w:start w:val="1"/>
      <w:numFmt w:val="lowerRoman"/>
      <w:lvlText w:val="%3"/>
      <w:lvlJc w:val="left"/>
      <w:pPr>
        <w:ind w:left="18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tplc="D80CC1A4">
      <w:start w:val="1"/>
      <w:numFmt w:val="decimal"/>
      <w:lvlText w:val="%4"/>
      <w:lvlJc w:val="left"/>
      <w:pPr>
        <w:ind w:left="25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tplc="30DE397A">
      <w:start w:val="1"/>
      <w:numFmt w:val="lowerLetter"/>
      <w:lvlText w:val="%5"/>
      <w:lvlJc w:val="left"/>
      <w:pPr>
        <w:ind w:left="324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tplc="49B28510">
      <w:start w:val="1"/>
      <w:numFmt w:val="lowerRoman"/>
      <w:lvlText w:val="%6"/>
      <w:lvlJc w:val="left"/>
      <w:pPr>
        <w:ind w:left="396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tplc="57A24658">
      <w:start w:val="1"/>
      <w:numFmt w:val="decimal"/>
      <w:lvlText w:val="%7"/>
      <w:lvlJc w:val="left"/>
      <w:pPr>
        <w:ind w:left="468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tplc="F85ED456">
      <w:start w:val="1"/>
      <w:numFmt w:val="lowerLetter"/>
      <w:lvlText w:val="%8"/>
      <w:lvlJc w:val="left"/>
      <w:pPr>
        <w:ind w:left="540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tplc="5FDE2E94">
      <w:start w:val="1"/>
      <w:numFmt w:val="lowerRoman"/>
      <w:lvlText w:val="%9"/>
      <w:lvlJc w:val="left"/>
      <w:pPr>
        <w:ind w:left="6120"/>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num w:numId="35">
    <w:abstractNumId w:val="32"/>
  </w:num>
  <w:num w:numId="34">
    <w:abstractNumId w:val="31"/>
  </w:num>
  <w:num w:numId="1" w16cid:durableId="1134559980">
    <w:abstractNumId w:val="28"/>
  </w:num>
  <w:num w:numId="2" w16cid:durableId="1031758819">
    <w:abstractNumId w:val="23"/>
  </w:num>
  <w:num w:numId="3" w16cid:durableId="763844032">
    <w:abstractNumId w:val="2"/>
  </w:num>
  <w:num w:numId="4" w16cid:durableId="1375739841">
    <w:abstractNumId w:val="24"/>
  </w:num>
  <w:num w:numId="5" w16cid:durableId="1903056416">
    <w:abstractNumId w:val="22"/>
  </w:num>
  <w:num w:numId="6" w16cid:durableId="1040285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86095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9145753">
    <w:abstractNumId w:val="16"/>
  </w:num>
  <w:num w:numId="9" w16cid:durableId="474182831">
    <w:abstractNumId w:val="9"/>
  </w:num>
  <w:num w:numId="10" w16cid:durableId="1824589183">
    <w:abstractNumId w:val="4"/>
  </w:num>
  <w:num w:numId="11" w16cid:durableId="410271689">
    <w:abstractNumId w:val="26"/>
  </w:num>
  <w:num w:numId="12" w16cid:durableId="497497515">
    <w:abstractNumId w:val="26"/>
    <w:lvlOverride w:ilvl="0">
      <w:startOverride w:val="1"/>
    </w:lvlOverride>
  </w:num>
  <w:num w:numId="13" w16cid:durableId="1689062408">
    <w:abstractNumId w:val="5"/>
  </w:num>
  <w:num w:numId="14" w16cid:durableId="522406040">
    <w:abstractNumId w:val="10"/>
  </w:num>
  <w:num w:numId="15" w16cid:durableId="1015769487">
    <w:abstractNumId w:val="8"/>
  </w:num>
  <w:num w:numId="16" w16cid:durableId="1360276663">
    <w:abstractNumId w:val="18"/>
  </w:num>
  <w:num w:numId="17" w16cid:durableId="815416182">
    <w:abstractNumId w:val="7"/>
  </w:num>
  <w:num w:numId="18" w16cid:durableId="1258053432">
    <w:abstractNumId w:val="21"/>
  </w:num>
  <w:num w:numId="19" w16cid:durableId="863135715">
    <w:abstractNumId w:val="14"/>
  </w:num>
  <w:num w:numId="20" w16cid:durableId="993947183">
    <w:abstractNumId w:val="29"/>
  </w:num>
  <w:num w:numId="21" w16cid:durableId="1218511435">
    <w:abstractNumId w:val="25"/>
  </w:num>
  <w:num w:numId="22" w16cid:durableId="1180631200">
    <w:abstractNumId w:val="19"/>
  </w:num>
  <w:num w:numId="23" w16cid:durableId="1634560490">
    <w:abstractNumId w:val="30"/>
  </w:num>
  <w:num w:numId="24" w16cid:durableId="119341421">
    <w:abstractNumId w:val="11"/>
  </w:num>
  <w:num w:numId="25" w16cid:durableId="502162671">
    <w:abstractNumId w:val="1"/>
  </w:num>
  <w:num w:numId="26" w16cid:durableId="561525857">
    <w:abstractNumId w:val="3"/>
  </w:num>
  <w:num w:numId="27" w16cid:durableId="7218895">
    <w:abstractNumId w:val="27"/>
  </w:num>
  <w:num w:numId="28" w16cid:durableId="1122262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2342057">
    <w:abstractNumId w:val="13"/>
  </w:num>
  <w:num w:numId="30" w16cid:durableId="644044207">
    <w:abstractNumId w:val="17"/>
  </w:num>
  <w:num w:numId="31" w16cid:durableId="416679313">
    <w:abstractNumId w:val="0"/>
  </w:num>
  <w:num w:numId="32" w16cid:durableId="946546578">
    <w:abstractNumId w:val="15"/>
  </w:num>
  <w:num w:numId="33" w16cid:durableId="192560150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EC"/>
    <w:rsid w:val="00002A3C"/>
    <w:rsid w:val="00005B71"/>
    <w:rsid w:val="000307C6"/>
    <w:rsid w:val="000311F4"/>
    <w:rsid w:val="00033014"/>
    <w:rsid w:val="00033A26"/>
    <w:rsid w:val="00050406"/>
    <w:rsid w:val="000504E8"/>
    <w:rsid w:val="00050FBC"/>
    <w:rsid w:val="000624AA"/>
    <w:rsid w:val="00063045"/>
    <w:rsid w:val="000710EE"/>
    <w:rsid w:val="00097194"/>
    <w:rsid w:val="000A6631"/>
    <w:rsid w:val="000A7339"/>
    <w:rsid w:val="000C43F5"/>
    <w:rsid w:val="000D19AE"/>
    <w:rsid w:val="000D4E69"/>
    <w:rsid w:val="000D68FD"/>
    <w:rsid w:val="000F3F1A"/>
    <w:rsid w:val="0010216A"/>
    <w:rsid w:val="00117D8E"/>
    <w:rsid w:val="00122E3F"/>
    <w:rsid w:val="001329BB"/>
    <w:rsid w:val="00154E3A"/>
    <w:rsid w:val="00167080"/>
    <w:rsid w:val="001845CF"/>
    <w:rsid w:val="00186DAF"/>
    <w:rsid w:val="001961D2"/>
    <w:rsid w:val="001A0C51"/>
    <w:rsid w:val="001B0301"/>
    <w:rsid w:val="001B4958"/>
    <w:rsid w:val="001B768B"/>
    <w:rsid w:val="001E0613"/>
    <w:rsid w:val="001E2AEC"/>
    <w:rsid w:val="001F014F"/>
    <w:rsid w:val="001F3E8F"/>
    <w:rsid w:val="001F46C8"/>
    <w:rsid w:val="00203E8E"/>
    <w:rsid w:val="00213F79"/>
    <w:rsid w:val="00216811"/>
    <w:rsid w:val="002173FD"/>
    <w:rsid w:val="0022124A"/>
    <w:rsid w:val="002238C6"/>
    <w:rsid w:val="00242053"/>
    <w:rsid w:val="00246FC2"/>
    <w:rsid w:val="002477E9"/>
    <w:rsid w:val="00250A6C"/>
    <w:rsid w:val="002524C5"/>
    <w:rsid w:val="002542D3"/>
    <w:rsid w:val="00291C23"/>
    <w:rsid w:val="00297E16"/>
    <w:rsid w:val="002A29DB"/>
    <w:rsid w:val="002C260E"/>
    <w:rsid w:val="002C6459"/>
    <w:rsid w:val="002D14D6"/>
    <w:rsid w:val="002E18D9"/>
    <w:rsid w:val="002E3348"/>
    <w:rsid w:val="002F4B97"/>
    <w:rsid w:val="0031134A"/>
    <w:rsid w:val="003204A8"/>
    <w:rsid w:val="00330ED7"/>
    <w:rsid w:val="00334B2A"/>
    <w:rsid w:val="0034275A"/>
    <w:rsid w:val="0036138B"/>
    <w:rsid w:val="0037061E"/>
    <w:rsid w:val="0039653C"/>
    <w:rsid w:val="003A622B"/>
    <w:rsid w:val="003B18B1"/>
    <w:rsid w:val="003C7D0C"/>
    <w:rsid w:val="003D0F5A"/>
    <w:rsid w:val="003D3050"/>
    <w:rsid w:val="003D316B"/>
    <w:rsid w:val="003D46BA"/>
    <w:rsid w:val="003E4EE0"/>
    <w:rsid w:val="003E62F5"/>
    <w:rsid w:val="003F5FA0"/>
    <w:rsid w:val="0040051E"/>
    <w:rsid w:val="004033D3"/>
    <w:rsid w:val="00410986"/>
    <w:rsid w:val="0041331A"/>
    <w:rsid w:val="0041719D"/>
    <w:rsid w:val="00427257"/>
    <w:rsid w:val="0043121E"/>
    <w:rsid w:val="004324EC"/>
    <w:rsid w:val="004458B5"/>
    <w:rsid w:val="004619E3"/>
    <w:rsid w:val="00475E87"/>
    <w:rsid w:val="004A4D35"/>
    <w:rsid w:val="004C530E"/>
    <w:rsid w:val="004C5D95"/>
    <w:rsid w:val="004C7931"/>
    <w:rsid w:val="004D0D31"/>
    <w:rsid w:val="004F1A56"/>
    <w:rsid w:val="00530F72"/>
    <w:rsid w:val="00532D1E"/>
    <w:rsid w:val="005361D2"/>
    <w:rsid w:val="00542AAB"/>
    <w:rsid w:val="005737A4"/>
    <w:rsid w:val="0057572B"/>
    <w:rsid w:val="005779BD"/>
    <w:rsid w:val="00577F32"/>
    <w:rsid w:val="0059389D"/>
    <w:rsid w:val="0059443A"/>
    <w:rsid w:val="005A0264"/>
    <w:rsid w:val="005B3FA4"/>
    <w:rsid w:val="005B5BC1"/>
    <w:rsid w:val="005B6BB6"/>
    <w:rsid w:val="005C07CE"/>
    <w:rsid w:val="005C2AC7"/>
    <w:rsid w:val="005C7B5C"/>
    <w:rsid w:val="005F4B42"/>
    <w:rsid w:val="006018AF"/>
    <w:rsid w:val="00612A70"/>
    <w:rsid w:val="00614E4D"/>
    <w:rsid w:val="00620B38"/>
    <w:rsid w:val="00623B8B"/>
    <w:rsid w:val="0063215C"/>
    <w:rsid w:val="00640AE8"/>
    <w:rsid w:val="0064420A"/>
    <w:rsid w:val="00661C29"/>
    <w:rsid w:val="00675A11"/>
    <w:rsid w:val="00684E5B"/>
    <w:rsid w:val="00692870"/>
    <w:rsid w:val="00697FA9"/>
    <w:rsid w:val="006A6176"/>
    <w:rsid w:val="006B4D26"/>
    <w:rsid w:val="006B6704"/>
    <w:rsid w:val="006C5C17"/>
    <w:rsid w:val="006D1160"/>
    <w:rsid w:val="006F3DBB"/>
    <w:rsid w:val="007103F5"/>
    <w:rsid w:val="00721C21"/>
    <w:rsid w:val="00733B79"/>
    <w:rsid w:val="00746A0F"/>
    <w:rsid w:val="00746C59"/>
    <w:rsid w:val="00747433"/>
    <w:rsid w:val="00754550"/>
    <w:rsid w:val="00756BD3"/>
    <w:rsid w:val="00762711"/>
    <w:rsid w:val="00763F45"/>
    <w:rsid w:val="007673C8"/>
    <w:rsid w:val="00773483"/>
    <w:rsid w:val="007771BB"/>
    <w:rsid w:val="00783A2E"/>
    <w:rsid w:val="00796647"/>
    <w:rsid w:val="00796AF4"/>
    <w:rsid w:val="007A0F2E"/>
    <w:rsid w:val="007C0EC5"/>
    <w:rsid w:val="007D18E0"/>
    <w:rsid w:val="007F4BDF"/>
    <w:rsid w:val="00804200"/>
    <w:rsid w:val="0080449A"/>
    <w:rsid w:val="00812F6F"/>
    <w:rsid w:val="00817817"/>
    <w:rsid w:val="00821EFE"/>
    <w:rsid w:val="008246A6"/>
    <w:rsid w:val="00825AD1"/>
    <w:rsid w:val="00827AA0"/>
    <w:rsid w:val="00830D3E"/>
    <w:rsid w:val="008310B2"/>
    <w:rsid w:val="008334AA"/>
    <w:rsid w:val="00846476"/>
    <w:rsid w:val="0085481C"/>
    <w:rsid w:val="00854A18"/>
    <w:rsid w:val="00865F0A"/>
    <w:rsid w:val="008775C5"/>
    <w:rsid w:val="0088407A"/>
    <w:rsid w:val="00893F50"/>
    <w:rsid w:val="008A12D5"/>
    <w:rsid w:val="008B491F"/>
    <w:rsid w:val="008C3E36"/>
    <w:rsid w:val="008D37E4"/>
    <w:rsid w:val="008E7F8B"/>
    <w:rsid w:val="008F1AA7"/>
    <w:rsid w:val="008F3319"/>
    <w:rsid w:val="009118CD"/>
    <w:rsid w:val="00913D12"/>
    <w:rsid w:val="00921FC5"/>
    <w:rsid w:val="0092236B"/>
    <w:rsid w:val="009246A0"/>
    <w:rsid w:val="00926DE0"/>
    <w:rsid w:val="00937E3D"/>
    <w:rsid w:val="00941142"/>
    <w:rsid w:val="009454E9"/>
    <w:rsid w:val="00960641"/>
    <w:rsid w:val="0097002C"/>
    <w:rsid w:val="00973579"/>
    <w:rsid w:val="009762EE"/>
    <w:rsid w:val="0098278C"/>
    <w:rsid w:val="009859E1"/>
    <w:rsid w:val="009A2659"/>
    <w:rsid w:val="009A31F0"/>
    <w:rsid w:val="009A393D"/>
    <w:rsid w:val="009A3E65"/>
    <w:rsid w:val="009C0696"/>
    <w:rsid w:val="009D0A20"/>
    <w:rsid w:val="009D4406"/>
    <w:rsid w:val="009F3488"/>
    <w:rsid w:val="009F56AC"/>
    <w:rsid w:val="00A007AA"/>
    <w:rsid w:val="00A060C1"/>
    <w:rsid w:val="00A065B2"/>
    <w:rsid w:val="00A11162"/>
    <w:rsid w:val="00A2040E"/>
    <w:rsid w:val="00A2702D"/>
    <w:rsid w:val="00A336AA"/>
    <w:rsid w:val="00A44B82"/>
    <w:rsid w:val="00A4722E"/>
    <w:rsid w:val="00A5757B"/>
    <w:rsid w:val="00A64073"/>
    <w:rsid w:val="00A870B4"/>
    <w:rsid w:val="00AB072D"/>
    <w:rsid w:val="00AC5609"/>
    <w:rsid w:val="00AD1C8A"/>
    <w:rsid w:val="00AD4F51"/>
    <w:rsid w:val="00AD5728"/>
    <w:rsid w:val="00AE2FDF"/>
    <w:rsid w:val="00AE2FFA"/>
    <w:rsid w:val="00AE66AC"/>
    <w:rsid w:val="00AF636A"/>
    <w:rsid w:val="00B06B11"/>
    <w:rsid w:val="00B10760"/>
    <w:rsid w:val="00B12084"/>
    <w:rsid w:val="00B37C2B"/>
    <w:rsid w:val="00B44DD5"/>
    <w:rsid w:val="00B50B63"/>
    <w:rsid w:val="00B5657C"/>
    <w:rsid w:val="00B63623"/>
    <w:rsid w:val="00B812C6"/>
    <w:rsid w:val="00B878C0"/>
    <w:rsid w:val="00BA1B9D"/>
    <w:rsid w:val="00BB69B9"/>
    <w:rsid w:val="00BB7C96"/>
    <w:rsid w:val="00BC4437"/>
    <w:rsid w:val="00BC4CE6"/>
    <w:rsid w:val="00BC75CF"/>
    <w:rsid w:val="00BE7C81"/>
    <w:rsid w:val="00C02E4E"/>
    <w:rsid w:val="00C104EE"/>
    <w:rsid w:val="00C14AD7"/>
    <w:rsid w:val="00C335C5"/>
    <w:rsid w:val="00C401F0"/>
    <w:rsid w:val="00C43B40"/>
    <w:rsid w:val="00C52CE1"/>
    <w:rsid w:val="00C56BFF"/>
    <w:rsid w:val="00C61163"/>
    <w:rsid w:val="00C67B89"/>
    <w:rsid w:val="00C742E2"/>
    <w:rsid w:val="00C75531"/>
    <w:rsid w:val="00C82C9F"/>
    <w:rsid w:val="00C947AD"/>
    <w:rsid w:val="00C95A05"/>
    <w:rsid w:val="00CA5197"/>
    <w:rsid w:val="00CB1C47"/>
    <w:rsid w:val="00CB2E5B"/>
    <w:rsid w:val="00CC7FCE"/>
    <w:rsid w:val="00CD3CBD"/>
    <w:rsid w:val="00CD5286"/>
    <w:rsid w:val="00CD7E79"/>
    <w:rsid w:val="00CF272E"/>
    <w:rsid w:val="00CF5BA3"/>
    <w:rsid w:val="00D01790"/>
    <w:rsid w:val="00D05447"/>
    <w:rsid w:val="00D06C50"/>
    <w:rsid w:val="00D11877"/>
    <w:rsid w:val="00D11AAB"/>
    <w:rsid w:val="00D2275A"/>
    <w:rsid w:val="00D24C30"/>
    <w:rsid w:val="00D329A7"/>
    <w:rsid w:val="00D3307D"/>
    <w:rsid w:val="00D470A5"/>
    <w:rsid w:val="00D6460E"/>
    <w:rsid w:val="00D67335"/>
    <w:rsid w:val="00D70F41"/>
    <w:rsid w:val="00D8073D"/>
    <w:rsid w:val="00D8498B"/>
    <w:rsid w:val="00D90B81"/>
    <w:rsid w:val="00D9572B"/>
    <w:rsid w:val="00DA1567"/>
    <w:rsid w:val="00DA7382"/>
    <w:rsid w:val="00DB502A"/>
    <w:rsid w:val="00DB6A53"/>
    <w:rsid w:val="00DC0156"/>
    <w:rsid w:val="00DD2EBE"/>
    <w:rsid w:val="00DF22E5"/>
    <w:rsid w:val="00E0026C"/>
    <w:rsid w:val="00E04C2D"/>
    <w:rsid w:val="00E1004C"/>
    <w:rsid w:val="00E2471A"/>
    <w:rsid w:val="00E41CE2"/>
    <w:rsid w:val="00E6401E"/>
    <w:rsid w:val="00E7014A"/>
    <w:rsid w:val="00E92364"/>
    <w:rsid w:val="00E952A7"/>
    <w:rsid w:val="00EA12D0"/>
    <w:rsid w:val="00EA29A2"/>
    <w:rsid w:val="00EA5149"/>
    <w:rsid w:val="00EB1443"/>
    <w:rsid w:val="00EB4F54"/>
    <w:rsid w:val="00EC0E3F"/>
    <w:rsid w:val="00EC1B92"/>
    <w:rsid w:val="00EC6C23"/>
    <w:rsid w:val="00ED2C2F"/>
    <w:rsid w:val="00EE2AC4"/>
    <w:rsid w:val="00EE3D3F"/>
    <w:rsid w:val="00EE54C7"/>
    <w:rsid w:val="00EE7ED4"/>
    <w:rsid w:val="00EF366A"/>
    <w:rsid w:val="00EF7673"/>
    <w:rsid w:val="00F00F50"/>
    <w:rsid w:val="00F02766"/>
    <w:rsid w:val="00F06EAE"/>
    <w:rsid w:val="00F320EA"/>
    <w:rsid w:val="00F60F47"/>
    <w:rsid w:val="00F67CDD"/>
    <w:rsid w:val="00F77F5E"/>
    <w:rsid w:val="00F8201C"/>
    <w:rsid w:val="00F8318C"/>
    <w:rsid w:val="00F835A3"/>
    <w:rsid w:val="00F85650"/>
    <w:rsid w:val="00F90619"/>
    <w:rsid w:val="00F93472"/>
    <w:rsid w:val="00FA6CFE"/>
    <w:rsid w:val="00FB27CE"/>
    <w:rsid w:val="00FB2D78"/>
    <w:rsid w:val="00FB5CDD"/>
    <w:rsid w:val="00FC2D6E"/>
    <w:rsid w:val="00FC73C1"/>
    <w:rsid w:val="00FD6D2D"/>
    <w:rsid w:val="00FD72F6"/>
    <w:rsid w:val="00FE63FD"/>
    <w:rsid w:val="0404C732"/>
    <w:rsid w:val="04D77FF2"/>
    <w:rsid w:val="068C81A9"/>
    <w:rsid w:val="06B6FCC6"/>
    <w:rsid w:val="07A443D0"/>
    <w:rsid w:val="09F43D92"/>
    <w:rsid w:val="0D2FCF43"/>
    <w:rsid w:val="0D9219C1"/>
    <w:rsid w:val="0E9738D0"/>
    <w:rsid w:val="125F76DC"/>
    <w:rsid w:val="1429F3B2"/>
    <w:rsid w:val="16440CD7"/>
    <w:rsid w:val="17D98CB0"/>
    <w:rsid w:val="19D18B1B"/>
    <w:rsid w:val="1DDD9BA3"/>
    <w:rsid w:val="1F46142A"/>
    <w:rsid w:val="1FC93AC6"/>
    <w:rsid w:val="230BDA78"/>
    <w:rsid w:val="25BA5DEC"/>
    <w:rsid w:val="2786FD3F"/>
    <w:rsid w:val="296D9602"/>
    <w:rsid w:val="2E5E4A07"/>
    <w:rsid w:val="2FA64E95"/>
    <w:rsid w:val="30AB064A"/>
    <w:rsid w:val="30CCD419"/>
    <w:rsid w:val="3238FAB8"/>
    <w:rsid w:val="3259239C"/>
    <w:rsid w:val="3321B756"/>
    <w:rsid w:val="34356B1C"/>
    <w:rsid w:val="35DB7B5C"/>
    <w:rsid w:val="362E7261"/>
    <w:rsid w:val="3676AEA2"/>
    <w:rsid w:val="36C0CEC8"/>
    <w:rsid w:val="38254167"/>
    <w:rsid w:val="389CEFD2"/>
    <w:rsid w:val="3981519A"/>
    <w:rsid w:val="3C4AE174"/>
    <w:rsid w:val="3CCC66B4"/>
    <w:rsid w:val="3D7060F5"/>
    <w:rsid w:val="40CD53F9"/>
    <w:rsid w:val="40FCF148"/>
    <w:rsid w:val="410D21BB"/>
    <w:rsid w:val="42C2DCC8"/>
    <w:rsid w:val="47064E79"/>
    <w:rsid w:val="474A791A"/>
    <w:rsid w:val="4AA57E9B"/>
    <w:rsid w:val="51889A9A"/>
    <w:rsid w:val="53FDB3C9"/>
    <w:rsid w:val="54EE3BB0"/>
    <w:rsid w:val="56CE475E"/>
    <w:rsid w:val="5B9491EE"/>
    <w:rsid w:val="5D012BAB"/>
    <w:rsid w:val="5F5C5AF1"/>
    <w:rsid w:val="5FC6389E"/>
    <w:rsid w:val="607991C3"/>
    <w:rsid w:val="63A5C068"/>
    <w:rsid w:val="64395148"/>
    <w:rsid w:val="64EE7229"/>
    <w:rsid w:val="65663E89"/>
    <w:rsid w:val="66E02827"/>
    <w:rsid w:val="69090A99"/>
    <w:rsid w:val="69DA8BC5"/>
    <w:rsid w:val="6D78D61E"/>
    <w:rsid w:val="6E28A850"/>
    <w:rsid w:val="6E3B0253"/>
    <w:rsid w:val="72E1BEA6"/>
    <w:rsid w:val="7351556E"/>
    <w:rsid w:val="73EF7D18"/>
    <w:rsid w:val="753C5882"/>
    <w:rsid w:val="75698583"/>
    <w:rsid w:val="77DB4712"/>
    <w:rsid w:val="788705A8"/>
    <w:rsid w:val="7A8FF0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7B0CF"/>
  <w15:chartTrackingRefBased/>
  <w15:docId w15:val="{0DB11786-EDBB-423D-87F8-32E4AAAD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24EC"/>
  </w:style>
  <w:style w:type="paragraph" w:styleId="Heading1">
    <w:name w:val="heading 1"/>
    <w:basedOn w:val="Normal"/>
    <w:next w:val="Normal"/>
    <w:link w:val="Heading1Char"/>
    <w:uiPriority w:val="9"/>
    <w:qFormat/>
    <w:rsid w:val="0039653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4"/>
    <w:unhideWhenUsed/>
    <w:qFormat/>
    <w:rsid w:val="004324EC"/>
    <w:pPr>
      <w:spacing w:after="0" w:line="240" w:lineRule="auto"/>
      <w:contextualSpacing/>
      <w:jc w:val="center"/>
      <w:outlineLvl w:val="1"/>
    </w:pPr>
    <w:rPr>
      <w:rFonts w:ascii="Times New Roman" w:hAnsi="Times New Roman" w:cs="Times New Roman"/>
      <w:b/>
      <w:bCs/>
      <w:sz w:val="28"/>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24EC"/>
    <w:pPr>
      <w:tabs>
        <w:tab w:val="center" w:pos="4680"/>
        <w:tab w:val="right" w:pos="9360"/>
      </w:tabs>
      <w:spacing w:after="0" w:line="240" w:lineRule="auto"/>
    </w:pPr>
  </w:style>
  <w:style w:type="character" w:styleId="HeaderChar" w:customStyle="1">
    <w:name w:val="Header Char"/>
    <w:basedOn w:val="DefaultParagraphFont"/>
    <w:link w:val="Header"/>
    <w:uiPriority w:val="99"/>
    <w:rsid w:val="004324EC"/>
  </w:style>
  <w:style w:type="paragraph" w:styleId="Footer">
    <w:name w:val="footer"/>
    <w:basedOn w:val="Normal"/>
    <w:link w:val="FooterChar"/>
    <w:uiPriority w:val="99"/>
    <w:unhideWhenUsed/>
    <w:rsid w:val="004324EC"/>
    <w:pPr>
      <w:tabs>
        <w:tab w:val="center" w:pos="4680"/>
        <w:tab w:val="right" w:pos="9360"/>
      </w:tabs>
      <w:spacing w:after="0" w:line="240" w:lineRule="auto"/>
    </w:pPr>
  </w:style>
  <w:style w:type="character" w:styleId="FooterChar" w:customStyle="1">
    <w:name w:val="Footer Char"/>
    <w:basedOn w:val="DefaultParagraphFont"/>
    <w:link w:val="Footer"/>
    <w:uiPriority w:val="99"/>
    <w:rsid w:val="004324EC"/>
  </w:style>
  <w:style w:type="character" w:styleId="Heading2Char" w:customStyle="1">
    <w:name w:val="Heading 2 Char"/>
    <w:basedOn w:val="DefaultParagraphFont"/>
    <w:link w:val="Heading2"/>
    <w:uiPriority w:val="4"/>
    <w:rsid w:val="004324EC"/>
    <w:rPr>
      <w:rFonts w:ascii="Times New Roman" w:hAnsi="Times New Roman" w:cs="Times New Roman"/>
      <w:b/>
      <w:bCs/>
      <w:sz w:val="28"/>
      <w:szCs w:val="24"/>
    </w:rPr>
  </w:style>
  <w:style w:type="paragraph" w:styleId="ListParagraph">
    <w:name w:val="List Paragraph"/>
    <w:basedOn w:val="Normal"/>
    <w:link w:val="ListParagraphChar"/>
    <w:uiPriority w:val="34"/>
    <w:qFormat/>
    <w:rsid w:val="004324EC"/>
    <w:pPr>
      <w:spacing w:after="0" w:line="240" w:lineRule="auto"/>
      <w:ind w:left="720"/>
      <w:contextualSpacing/>
    </w:pPr>
    <w:rPr>
      <w:rFonts w:ascii="Calibri" w:hAnsi="Calibri" w:cs="Calibri"/>
    </w:rPr>
  </w:style>
  <w:style w:type="paragraph" w:styleId="FootnoteText">
    <w:name w:val="footnote text"/>
    <w:basedOn w:val="Normal"/>
    <w:link w:val="FootnoteTextChar"/>
    <w:uiPriority w:val="99"/>
    <w:unhideWhenUsed/>
    <w:rsid w:val="004324EC"/>
    <w:pPr>
      <w:spacing w:after="0" w:line="240" w:lineRule="auto"/>
    </w:pPr>
    <w:rPr>
      <w:rFonts w:ascii="Calibri" w:hAnsi="Calibri" w:cs="Calibri"/>
      <w:sz w:val="20"/>
      <w:szCs w:val="20"/>
    </w:rPr>
  </w:style>
  <w:style w:type="character" w:styleId="FootnoteTextChar" w:customStyle="1">
    <w:name w:val="Footnote Text Char"/>
    <w:basedOn w:val="DefaultParagraphFont"/>
    <w:link w:val="FootnoteText"/>
    <w:uiPriority w:val="99"/>
    <w:rsid w:val="004324EC"/>
    <w:rPr>
      <w:rFonts w:ascii="Calibri" w:hAnsi="Calibri" w:cs="Calibri"/>
      <w:sz w:val="20"/>
      <w:szCs w:val="20"/>
    </w:rPr>
  </w:style>
  <w:style w:type="character" w:styleId="FootnoteReference">
    <w:name w:val="footnote reference"/>
    <w:basedOn w:val="DefaultParagraphFont"/>
    <w:uiPriority w:val="99"/>
    <w:unhideWhenUsed/>
    <w:rsid w:val="004324EC"/>
    <w:rPr>
      <w:vertAlign w:val="superscript"/>
    </w:rPr>
  </w:style>
  <w:style w:type="paragraph" w:styleId="BodyTextIndent">
    <w:name w:val="Body Text Indent"/>
    <w:basedOn w:val="Normal"/>
    <w:link w:val="BodyTextIndentChar"/>
    <w:uiPriority w:val="99"/>
    <w:semiHidden/>
    <w:unhideWhenUsed/>
    <w:rsid w:val="004324EC"/>
    <w:pPr>
      <w:spacing w:after="120"/>
      <w:ind w:left="360"/>
    </w:pPr>
  </w:style>
  <w:style w:type="character" w:styleId="BodyTextIndentChar" w:customStyle="1">
    <w:name w:val="Body Text Indent Char"/>
    <w:basedOn w:val="DefaultParagraphFont"/>
    <w:link w:val="BodyTextIndent"/>
    <w:uiPriority w:val="99"/>
    <w:semiHidden/>
    <w:rsid w:val="004324EC"/>
  </w:style>
  <w:style w:type="paragraph" w:styleId="BodyTextFirstIndent2">
    <w:name w:val="Body Text First Indent 2"/>
    <w:basedOn w:val="BodyTextFirstIndent"/>
    <w:link w:val="BodyTextFirstIndent2Char"/>
    <w:rsid w:val="004324EC"/>
    <w:pPr>
      <w:spacing w:after="0" w:line="480" w:lineRule="auto"/>
      <w:ind w:firstLine="1440"/>
      <w:contextualSpacing/>
    </w:pPr>
    <w:rPr>
      <w:szCs w:val="24"/>
    </w:rPr>
  </w:style>
  <w:style w:type="character" w:styleId="BodyTextFirstIndent2Char" w:customStyle="1">
    <w:name w:val="Body Text First Indent 2 Char"/>
    <w:basedOn w:val="BodyTextIndentChar"/>
    <w:link w:val="BodyTextFirstIndent2"/>
    <w:rsid w:val="004324EC"/>
    <w:rPr>
      <w:szCs w:val="24"/>
    </w:rPr>
  </w:style>
  <w:style w:type="paragraph" w:styleId="BodyTextIndent2">
    <w:name w:val="Body Text Indent 2"/>
    <w:basedOn w:val="BodyTextIndent"/>
    <w:link w:val="BodyTextIndent2Char"/>
    <w:rsid w:val="004324EC"/>
    <w:pPr>
      <w:spacing w:after="0" w:line="480" w:lineRule="auto"/>
      <w:ind w:left="1440"/>
    </w:pPr>
    <w:rPr>
      <w:sz w:val="24"/>
      <w:szCs w:val="24"/>
    </w:rPr>
  </w:style>
  <w:style w:type="character" w:styleId="BodyTextIndent2Char" w:customStyle="1">
    <w:name w:val="Body Text Indent 2 Char"/>
    <w:basedOn w:val="DefaultParagraphFont"/>
    <w:link w:val="BodyTextIndent2"/>
    <w:rsid w:val="004324EC"/>
    <w:rPr>
      <w:sz w:val="24"/>
      <w:szCs w:val="24"/>
    </w:rPr>
  </w:style>
  <w:style w:type="character" w:styleId="Hyperlink">
    <w:name w:val="Hyperlink"/>
    <w:basedOn w:val="DefaultParagraphFont"/>
    <w:uiPriority w:val="99"/>
    <w:unhideWhenUsed/>
    <w:rsid w:val="004324EC"/>
    <w:rPr>
      <w:color w:val="0563C1" w:themeColor="hyperlink"/>
      <w:u w:val="single"/>
    </w:rPr>
  </w:style>
  <w:style w:type="character" w:styleId="CommentReference">
    <w:name w:val="annotation reference"/>
    <w:uiPriority w:val="99"/>
    <w:rsid w:val="004324EC"/>
    <w:rPr>
      <w:sz w:val="16"/>
      <w:szCs w:val="16"/>
    </w:rPr>
  </w:style>
  <w:style w:type="character" w:styleId="ListParagraphChar" w:customStyle="1">
    <w:name w:val="List Paragraph Char"/>
    <w:basedOn w:val="DefaultParagraphFont"/>
    <w:link w:val="ListParagraph"/>
    <w:uiPriority w:val="34"/>
    <w:rsid w:val="004324EC"/>
    <w:rPr>
      <w:rFonts w:ascii="Calibri" w:hAnsi="Calibri" w:cs="Calibri"/>
    </w:rPr>
  </w:style>
  <w:style w:type="paragraph" w:styleId="BodyText">
    <w:name w:val="Body Text"/>
    <w:basedOn w:val="Normal"/>
    <w:link w:val="BodyTextChar"/>
    <w:unhideWhenUsed/>
    <w:qFormat/>
    <w:rsid w:val="004324EC"/>
    <w:pPr>
      <w:spacing w:after="120"/>
    </w:pPr>
  </w:style>
  <w:style w:type="character" w:styleId="BodyTextChar" w:customStyle="1">
    <w:name w:val="Body Text Char"/>
    <w:basedOn w:val="DefaultParagraphFont"/>
    <w:link w:val="BodyText"/>
    <w:rsid w:val="004324EC"/>
  </w:style>
  <w:style w:type="paragraph" w:styleId="BodyTextFirstIndent">
    <w:name w:val="Body Text First Indent"/>
    <w:basedOn w:val="BodyText"/>
    <w:link w:val="BodyTextFirstIndentChar"/>
    <w:uiPriority w:val="99"/>
    <w:semiHidden/>
    <w:unhideWhenUsed/>
    <w:rsid w:val="004324EC"/>
    <w:pPr>
      <w:spacing w:after="160"/>
      <w:ind w:firstLine="360"/>
    </w:pPr>
  </w:style>
  <w:style w:type="character" w:styleId="BodyTextFirstIndentChar" w:customStyle="1">
    <w:name w:val="Body Text First Indent Char"/>
    <w:basedOn w:val="BodyTextChar"/>
    <w:link w:val="BodyTextFirstIndent"/>
    <w:uiPriority w:val="99"/>
    <w:semiHidden/>
    <w:rsid w:val="004324EC"/>
  </w:style>
  <w:style w:type="paragraph" w:styleId="Parties" w:customStyle="1">
    <w:name w:val="Parties"/>
    <w:basedOn w:val="Normal"/>
    <w:qFormat/>
    <w:rsid w:val="007673C8"/>
    <w:pPr>
      <w:numPr>
        <w:numId w:val="6"/>
      </w:numPr>
      <w:spacing w:after="0" w:line="240" w:lineRule="auto"/>
    </w:pPr>
    <w:rPr>
      <w:sz w:val="24"/>
      <w:szCs w:val="24"/>
    </w:rPr>
  </w:style>
  <w:style w:type="paragraph" w:styleId="Recitals" w:customStyle="1">
    <w:name w:val="Recitals"/>
    <w:basedOn w:val="Normal"/>
    <w:uiPriority w:val="1"/>
    <w:qFormat/>
    <w:rsid w:val="007673C8"/>
    <w:pPr>
      <w:numPr>
        <w:numId w:val="7"/>
      </w:numPr>
      <w:spacing w:after="0" w:line="240" w:lineRule="auto"/>
    </w:pPr>
    <w:rPr>
      <w:sz w:val="24"/>
      <w:szCs w:val="24"/>
    </w:rPr>
  </w:style>
  <w:style w:type="table" w:styleId="TableGrid">
    <w:name w:val="Table Grid"/>
    <w:basedOn w:val="TableNormal"/>
    <w:uiPriority w:val="59"/>
    <w:rsid w:val="007673C8"/>
    <w:pPr>
      <w:spacing w:after="0" w:line="240" w:lineRule="auto"/>
    </w:pPr>
    <w:rPr>
      <w:sz w:val="24"/>
      <w:szCs w:val="24"/>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06C5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6C50"/>
    <w:rPr>
      <w:rFonts w:ascii="Segoe UI" w:hAnsi="Segoe UI" w:cs="Segoe UI"/>
      <w:sz w:val="18"/>
      <w:szCs w:val="18"/>
    </w:rPr>
  </w:style>
  <w:style w:type="paragraph" w:styleId="Default" w:customStyle="1">
    <w:name w:val="Default"/>
    <w:basedOn w:val="Normal"/>
    <w:rsid w:val="753C5882"/>
    <w:rPr>
      <w:rFonts w:ascii="Arial" w:hAnsi="Arial" w:eastAsia="MS Mincho" w:cs="Arial"/>
      <w:color w:val="000000" w:themeColor="text1"/>
      <w:sz w:val="24"/>
      <w:szCs w:val="24"/>
    </w:rPr>
  </w:style>
  <w:style w:type="character" w:styleId="Strong">
    <w:name w:val="Strong"/>
    <w:basedOn w:val="DefaultParagraphFont"/>
    <w:uiPriority w:val="22"/>
    <w:qFormat/>
    <w:rsid w:val="00C947AD"/>
    <w:rPr>
      <w:b/>
      <w:bCs/>
    </w:rPr>
  </w:style>
  <w:style w:type="numbering" w:styleId="CovingtonHeadings1" w:customStyle="1">
    <w:name w:val="Covington Headings1"/>
    <w:uiPriority w:val="99"/>
    <w:rsid w:val="00186DAF"/>
    <w:pPr>
      <w:numPr>
        <w:numId w:val="17"/>
      </w:numPr>
    </w:pPr>
  </w:style>
  <w:style w:type="character" w:styleId="PlaceholderText">
    <w:name w:val="Placeholder Text"/>
    <w:basedOn w:val="DefaultParagraphFont"/>
    <w:uiPriority w:val="99"/>
    <w:semiHidden/>
    <w:rsid w:val="00EE3D3F"/>
    <w:rPr>
      <w:color w:val="808080"/>
    </w:rPr>
  </w:style>
  <w:style w:type="character" w:styleId="Heading1Char" w:customStyle="1">
    <w:name w:val="Heading 1 Char"/>
    <w:basedOn w:val="DefaultParagraphFont"/>
    <w:link w:val="Heading1"/>
    <w:uiPriority w:val="9"/>
    <w:rsid w:val="0039653C"/>
    <w:rPr>
      <w:rFonts w:asciiTheme="majorHAnsi" w:hAnsiTheme="majorHAnsi" w:eastAsiaTheme="majorEastAsia" w:cstheme="majorBidi"/>
      <w:color w:val="2F5496" w:themeColor="accent1" w:themeShade="BF"/>
      <w:sz w:val="32"/>
      <w:szCs w:val="32"/>
    </w:rPr>
  </w:style>
  <w:style w:type="table" w:styleId="TableGrid0" w:customStyle="1">
    <w:name w:val="TableGrid"/>
    <w:rsid w:val="0039653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97002C"/>
    <w:rPr>
      <w:color w:val="605E5C"/>
      <w:shd w:val="clear" w:color="auto" w:fill="E1DFDD"/>
    </w:rPr>
  </w:style>
  <w:style w:type="paragraph" w:styleId="CommentText">
    <w:name w:val="annotation text"/>
    <w:basedOn w:val="Normal"/>
    <w:link w:val="CommentTextChar"/>
    <w:uiPriority w:val="99"/>
    <w:semiHidden/>
    <w:unhideWhenUsed/>
    <w:rsid w:val="00973579"/>
    <w:pPr>
      <w:spacing w:line="240" w:lineRule="auto"/>
    </w:pPr>
    <w:rPr>
      <w:sz w:val="20"/>
      <w:szCs w:val="20"/>
    </w:rPr>
  </w:style>
  <w:style w:type="character" w:styleId="CommentTextChar" w:customStyle="1">
    <w:name w:val="Comment Text Char"/>
    <w:basedOn w:val="DefaultParagraphFont"/>
    <w:link w:val="CommentText"/>
    <w:uiPriority w:val="99"/>
    <w:semiHidden/>
    <w:rsid w:val="00973579"/>
    <w:rPr>
      <w:sz w:val="20"/>
      <w:szCs w:val="20"/>
    </w:rPr>
  </w:style>
  <w:style w:type="paragraph" w:styleId="CommentSubject">
    <w:name w:val="annotation subject"/>
    <w:basedOn w:val="CommentText"/>
    <w:next w:val="CommentText"/>
    <w:link w:val="CommentSubjectChar"/>
    <w:uiPriority w:val="99"/>
    <w:semiHidden/>
    <w:unhideWhenUsed/>
    <w:rsid w:val="00973579"/>
    <w:rPr>
      <w:b/>
      <w:bCs/>
    </w:rPr>
  </w:style>
  <w:style w:type="character" w:styleId="CommentSubjectChar" w:customStyle="1">
    <w:name w:val="Comment Subject Char"/>
    <w:basedOn w:val="CommentTextChar"/>
    <w:link w:val="CommentSubject"/>
    <w:uiPriority w:val="99"/>
    <w:semiHidden/>
    <w:rsid w:val="00973579"/>
    <w:rPr>
      <w:b/>
      <w:bCs/>
      <w:sz w:val="20"/>
      <w:szCs w:val="20"/>
    </w:rPr>
  </w:style>
  <w:style w:type="character" w:styleId="Emphasis">
    <w:name w:val="Emphasis"/>
    <w:basedOn w:val="DefaultParagraphFont"/>
    <w:uiPriority w:val="20"/>
    <w:qFormat/>
    <w:rsid w:val="00EC6C23"/>
    <w:rPr>
      <w:i/>
      <w:iCs/>
    </w:rPr>
  </w:style>
  <w:style w:type="paragraph" w:styleId="NormalWeb">
    <w:name w:val="Normal (Web)"/>
    <w:basedOn w:val="Normal"/>
    <w:uiPriority w:val="99"/>
    <w:unhideWhenUsed/>
    <w:rsid w:val="00154E3A"/>
    <w:pPr>
      <w:spacing w:before="100" w:beforeAutospacing="1" w:after="100" w:afterAutospacing="1" w:line="240" w:lineRule="auto"/>
    </w:pPr>
    <w:rPr>
      <w:rFonts w:ascii="Times New Roman" w:hAnsi="Times New Roman" w:eastAsia="Times New Roman" w:cs="Times New Roman"/>
      <w:sz w:val="24"/>
      <w:szCs w:val="24"/>
    </w:rPr>
  </w:style>
  <w:style w:type="paragraph" w:styleId="Revision">
    <w:name w:val="Revision"/>
    <w:hidden/>
    <w:uiPriority w:val="99"/>
    <w:semiHidden/>
    <w:rsid w:val="00661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32407">
      <w:bodyDiv w:val="1"/>
      <w:marLeft w:val="0"/>
      <w:marRight w:val="0"/>
      <w:marTop w:val="0"/>
      <w:marBottom w:val="0"/>
      <w:divBdr>
        <w:top w:val="none" w:sz="0" w:space="0" w:color="auto"/>
        <w:left w:val="none" w:sz="0" w:space="0" w:color="auto"/>
        <w:bottom w:val="none" w:sz="0" w:space="0" w:color="auto"/>
        <w:right w:val="none" w:sz="0" w:space="0" w:color="auto"/>
      </w:divBdr>
    </w:div>
    <w:div w:id="211963724">
      <w:bodyDiv w:val="1"/>
      <w:marLeft w:val="0"/>
      <w:marRight w:val="0"/>
      <w:marTop w:val="0"/>
      <w:marBottom w:val="0"/>
      <w:divBdr>
        <w:top w:val="none" w:sz="0" w:space="0" w:color="auto"/>
        <w:left w:val="none" w:sz="0" w:space="0" w:color="auto"/>
        <w:bottom w:val="none" w:sz="0" w:space="0" w:color="auto"/>
        <w:right w:val="none" w:sz="0" w:space="0" w:color="auto"/>
      </w:divBdr>
    </w:div>
    <w:div w:id="369112678">
      <w:bodyDiv w:val="1"/>
      <w:marLeft w:val="0"/>
      <w:marRight w:val="0"/>
      <w:marTop w:val="0"/>
      <w:marBottom w:val="0"/>
      <w:divBdr>
        <w:top w:val="none" w:sz="0" w:space="0" w:color="auto"/>
        <w:left w:val="none" w:sz="0" w:space="0" w:color="auto"/>
        <w:bottom w:val="none" w:sz="0" w:space="0" w:color="auto"/>
        <w:right w:val="none" w:sz="0" w:space="0" w:color="auto"/>
      </w:divBdr>
    </w:div>
    <w:div w:id="558713537">
      <w:bodyDiv w:val="1"/>
      <w:marLeft w:val="0"/>
      <w:marRight w:val="0"/>
      <w:marTop w:val="0"/>
      <w:marBottom w:val="0"/>
      <w:divBdr>
        <w:top w:val="none" w:sz="0" w:space="0" w:color="auto"/>
        <w:left w:val="none" w:sz="0" w:space="0" w:color="auto"/>
        <w:bottom w:val="none" w:sz="0" w:space="0" w:color="auto"/>
        <w:right w:val="none" w:sz="0" w:space="0" w:color="auto"/>
      </w:divBdr>
    </w:div>
    <w:div w:id="670060314">
      <w:bodyDiv w:val="1"/>
      <w:marLeft w:val="0"/>
      <w:marRight w:val="0"/>
      <w:marTop w:val="0"/>
      <w:marBottom w:val="0"/>
      <w:divBdr>
        <w:top w:val="none" w:sz="0" w:space="0" w:color="auto"/>
        <w:left w:val="none" w:sz="0" w:space="0" w:color="auto"/>
        <w:bottom w:val="none" w:sz="0" w:space="0" w:color="auto"/>
        <w:right w:val="none" w:sz="0" w:space="0" w:color="auto"/>
      </w:divBdr>
    </w:div>
    <w:div w:id="799305237">
      <w:bodyDiv w:val="1"/>
      <w:marLeft w:val="0"/>
      <w:marRight w:val="0"/>
      <w:marTop w:val="0"/>
      <w:marBottom w:val="0"/>
      <w:divBdr>
        <w:top w:val="none" w:sz="0" w:space="0" w:color="auto"/>
        <w:left w:val="none" w:sz="0" w:space="0" w:color="auto"/>
        <w:bottom w:val="none" w:sz="0" w:space="0" w:color="auto"/>
        <w:right w:val="none" w:sz="0" w:space="0" w:color="auto"/>
      </w:divBdr>
    </w:div>
    <w:div w:id="960186802">
      <w:bodyDiv w:val="1"/>
      <w:marLeft w:val="0"/>
      <w:marRight w:val="0"/>
      <w:marTop w:val="0"/>
      <w:marBottom w:val="0"/>
      <w:divBdr>
        <w:top w:val="none" w:sz="0" w:space="0" w:color="auto"/>
        <w:left w:val="none" w:sz="0" w:space="0" w:color="auto"/>
        <w:bottom w:val="none" w:sz="0" w:space="0" w:color="auto"/>
        <w:right w:val="none" w:sz="0" w:space="0" w:color="auto"/>
      </w:divBdr>
    </w:div>
    <w:div w:id="977997605">
      <w:bodyDiv w:val="1"/>
      <w:marLeft w:val="0"/>
      <w:marRight w:val="0"/>
      <w:marTop w:val="0"/>
      <w:marBottom w:val="0"/>
      <w:divBdr>
        <w:top w:val="none" w:sz="0" w:space="0" w:color="auto"/>
        <w:left w:val="none" w:sz="0" w:space="0" w:color="auto"/>
        <w:bottom w:val="none" w:sz="0" w:space="0" w:color="auto"/>
        <w:right w:val="none" w:sz="0" w:space="0" w:color="auto"/>
      </w:divBdr>
    </w:div>
    <w:div w:id="1873952723">
      <w:bodyDiv w:val="1"/>
      <w:marLeft w:val="0"/>
      <w:marRight w:val="0"/>
      <w:marTop w:val="0"/>
      <w:marBottom w:val="0"/>
      <w:divBdr>
        <w:top w:val="none" w:sz="0" w:space="0" w:color="auto"/>
        <w:left w:val="none" w:sz="0" w:space="0" w:color="auto"/>
        <w:bottom w:val="none" w:sz="0" w:space="0" w:color="auto"/>
        <w:right w:val="none" w:sz="0" w:space="0" w:color="auto"/>
      </w:divBdr>
    </w:div>
    <w:div w:id="2105567239">
      <w:bodyDiv w:val="1"/>
      <w:marLeft w:val="0"/>
      <w:marRight w:val="0"/>
      <w:marTop w:val="0"/>
      <w:marBottom w:val="0"/>
      <w:divBdr>
        <w:top w:val="none" w:sz="0" w:space="0" w:color="auto"/>
        <w:left w:val="none" w:sz="0" w:space="0" w:color="auto"/>
        <w:bottom w:val="none" w:sz="0" w:space="0" w:color="auto"/>
        <w:right w:val="none" w:sz="0" w:space="0" w:color="auto"/>
      </w:divBdr>
    </w:div>
    <w:div w:id="211617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hyperlink" Target="mailto:globalopscnt@merck.com" TargetMode="External" Id="R1af91fd04d5941eb" /><Relationship Type="http://schemas.openxmlformats.org/officeDocument/2006/relationships/hyperlink" Target="http://www.cisecurity.org/" TargetMode="External" Id="R6766755a668a45b8" /><Relationship Type="http://schemas.openxmlformats.org/officeDocument/2006/relationships/hyperlink" Target="http://www.pcisecuritystandards.org/" TargetMode="External" Id="Rd04621c1e5b14cb8" /><Relationship Type="http://schemas.openxmlformats.org/officeDocument/2006/relationships/hyperlink" Target="http://csrc.nist.gov/" TargetMode="External" Id="R15b40f98335242d3" /><Relationship Type="http://schemas.openxmlformats.org/officeDocument/2006/relationships/hyperlink" Target="http://csrc.nist.gov/" TargetMode="External" Id="R9b851a6949874248" /><Relationship Type="http://schemas.openxmlformats.org/officeDocument/2006/relationships/hyperlink" Target="http://www.iso27001security.com/" TargetMode="External" Id="R40a428fbda4d46e7" /><Relationship Type="http://schemas.openxmlformats.org/officeDocument/2006/relationships/hyperlink" Target="http://www.oasis-open.org/" TargetMode="External" Id="Rcd4dfed430b5414e" /><Relationship Type="http://schemas.openxmlformats.org/officeDocument/2006/relationships/hyperlink" Target="http://www.owasp.org/" TargetMode="External" Id="R57bff5526ea34bd1" /><Relationship Type="http://schemas.openxmlformats.org/officeDocument/2006/relationships/hyperlink" Target="http://cwe.mitre.org/" TargetMode="External" Id="R2a232760cc924e9e" /><Relationship Type="http://schemas.openxmlformats.org/officeDocument/2006/relationships/hyperlink" Target="http://cwe.mitre.org/top25/" TargetMode="External" Id="R2ed23250eef7450c" /><Relationship Type="http://schemas.openxmlformats.org/officeDocument/2006/relationships/hyperlink" Target="http://www.sans.org/" TargetMode="External" Id="Rfaba51ad9c3a4772" /><Relationship Type="http://schemas.openxmlformats.org/officeDocument/2006/relationships/hyperlink" Target="http://www.sans.org/top25-programming-errors/" TargetMode="External" Id="Ra72d7095699540f7" /><Relationship Type="http://schemas.openxmlformats.org/officeDocument/2006/relationships/hyperlink" Target="http://www.cnil.fr/" TargetMode="External" Id="Rc792ccbc48d0422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07eef9-58af-45a0-9428-d5ca81f1c261">
      <UserInfo>
        <DisplayName>Minter, Lynne B.</DisplayName>
        <AccountId>844</AccountId>
        <AccountType/>
      </UserInfo>
      <UserInfo>
        <DisplayName>Fisher, Daniel</DisplayName>
        <AccountId>2074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a10f9ac0-5937-4b4f-b459-96aedd9ed2c5" origin="userSelected">
  <element uid="id_classification_eusecret" value=""/>
  <element uid="cefbaa69-3bfa-4b56-8d22-6839cb7b06d0"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D5FF79DDD3432A47B2F016577A028DA2" ma:contentTypeVersion="10" ma:contentTypeDescription="Create a new document." ma:contentTypeScope="" ma:versionID="ddcb2ab960379bd3da1d5d7020440576">
  <xsd:schema xmlns:xsd="http://www.w3.org/2001/XMLSchema" xmlns:xs="http://www.w3.org/2001/XMLSchema" xmlns:p="http://schemas.microsoft.com/office/2006/metadata/properties" xmlns:ns1="http://schemas.microsoft.com/sharepoint/v3" xmlns:ns2="184558f8-af87-4263-93aa-f50ede0629c7" xmlns:ns3="b707eef9-58af-45a0-9428-d5ca81f1c261" targetNamespace="http://schemas.microsoft.com/office/2006/metadata/properties" ma:root="true" ma:fieldsID="e5b58d6fc0ccfa12e542803caa884344" ns1:_="" ns2:_="" ns3:_="">
    <xsd:import namespace="http://schemas.microsoft.com/sharepoint/v3"/>
    <xsd:import namespace="184558f8-af87-4263-93aa-f50ede0629c7"/>
    <xsd:import namespace="b707eef9-58af-45a0-9428-d5ca81f1c2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558f8-af87-4263-93aa-f50ede062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07eef9-58af-45a0-9428-d5ca81f1c2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F0D5D-0A52-4617-9628-352434E12EF8}">
  <ds:schemaRefs>
    <ds:schemaRef ds:uri="http://schemas.microsoft.com/office/2006/metadata/properties"/>
    <ds:schemaRef ds:uri="http://schemas.microsoft.com/office/infopath/2007/PartnerControls"/>
    <ds:schemaRef ds:uri="b707eef9-58af-45a0-9428-d5ca81f1c261"/>
  </ds:schemaRefs>
</ds:datastoreItem>
</file>

<file path=customXml/itemProps2.xml><?xml version="1.0" encoding="utf-8"?>
<ds:datastoreItem xmlns:ds="http://schemas.openxmlformats.org/officeDocument/2006/customXml" ds:itemID="{50B044FA-EBA4-4A68-B43E-0F66DE590594}">
  <ds:schemaRefs>
    <ds:schemaRef ds:uri="http://schemas.microsoft.com/sharepoint/v3/contenttype/forms"/>
  </ds:schemaRefs>
</ds:datastoreItem>
</file>

<file path=customXml/itemProps3.xml><?xml version="1.0" encoding="utf-8"?>
<ds:datastoreItem xmlns:ds="http://schemas.openxmlformats.org/officeDocument/2006/customXml" ds:itemID="{5953D5F7-598E-4AD4-BA12-E9D463352406}">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426668F8-D3F9-417F-951B-073DED3361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Nevada Heft</dc:creator>
  <cp:keywords/>
  <dc:description/>
  <cp:lastModifiedBy>Heft, Nevada</cp:lastModifiedBy>
  <cp:revision>14</cp:revision>
  <dcterms:created xsi:type="dcterms:W3CDTF">2023-08-31T11:38:00Z</dcterms:created>
  <dcterms:modified xsi:type="dcterms:W3CDTF">2024-11-07T19:39:34Z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3f625319-e15b-484f-8840-90ba3e9d783b</vt:lpwstr>
  </property>
  <property fmtid="{D5CDD505-2E9C-101B-9397-08002B2CF9AE}" pid="3" name="bjSaver">
    <vt:lpwstr>5zJtdvjKoNXD7d/6taj6fq+SKuJO9z+D</vt:lpwstr>
  </property>
  <property fmtid="{D5CDD505-2E9C-101B-9397-08002B2CF9AE}" pid="4"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5" name="bjDocumentLabelXML-0">
    <vt:lpwstr>ames.com/2008/01/sie/internal/label"&gt;&lt;element uid="id_classification_eusecret" value="" /&gt;&lt;element uid="cefbaa69-3bfa-4b56-8d22-6839cb7b06d0" value="" /&gt;&lt;/sisl&gt;</vt:lpwstr>
  </property>
  <property fmtid="{D5CDD505-2E9C-101B-9397-08002B2CF9AE}" pid="6" name="bjDocumentSecurityLabel">
    <vt:lpwstr>Confidential</vt:lpwstr>
  </property>
  <property fmtid="{D5CDD505-2E9C-101B-9397-08002B2CF9AE}" pid="7" name="MerckMetadataExchange">
    <vt:lpwstr>!$MRK@Confidential-Footer-Left</vt:lpwstr>
  </property>
  <property fmtid="{D5CDD505-2E9C-101B-9397-08002B2CF9AE}" pid="8" name="ContentTypeId">
    <vt:lpwstr>0x010100D5FF79DDD3432A47B2F016577A028DA2</vt:lpwstr>
  </property>
  <property fmtid="{D5CDD505-2E9C-101B-9397-08002B2CF9AE}" pid="9" name="MSIP_Label_794a5f65-4bbe-4bbe-bb66-e23e35795661_Enabled">
    <vt:lpwstr>true</vt:lpwstr>
  </property>
  <property fmtid="{D5CDD505-2E9C-101B-9397-08002B2CF9AE}" pid="10" name="MSIP_Label_794a5f65-4bbe-4bbe-bb66-e23e35795661_SetDate">
    <vt:lpwstr>2023-07-10T20:33:39Z</vt:lpwstr>
  </property>
  <property fmtid="{D5CDD505-2E9C-101B-9397-08002B2CF9AE}" pid="11" name="MSIP_Label_794a5f65-4bbe-4bbe-bb66-e23e35795661_Method">
    <vt:lpwstr>Privileged</vt:lpwstr>
  </property>
  <property fmtid="{D5CDD505-2E9C-101B-9397-08002B2CF9AE}" pid="12" name="MSIP_Label_794a5f65-4bbe-4bbe-bb66-e23e35795661_Name">
    <vt:lpwstr>794a5f65-4bbe-4bbe-bb66-e23e35795661</vt:lpwstr>
  </property>
  <property fmtid="{D5CDD505-2E9C-101B-9397-08002B2CF9AE}" pid="13" name="MSIP_Label_794a5f65-4bbe-4bbe-bb66-e23e35795661_SiteId">
    <vt:lpwstr>a00de4ec-48a8-43a6-be74-e31274e2060d</vt:lpwstr>
  </property>
  <property fmtid="{D5CDD505-2E9C-101B-9397-08002B2CF9AE}" pid="14" name="MSIP_Label_794a5f65-4bbe-4bbe-bb66-e23e35795661_ActionId">
    <vt:lpwstr>0e5259a9-a4c0-40c4-8b71-4d0d7332ffaf</vt:lpwstr>
  </property>
  <property fmtid="{D5CDD505-2E9C-101B-9397-08002B2CF9AE}" pid="15" name="MSIP_Label_794a5f65-4bbe-4bbe-bb66-e23e35795661_ContentBits">
    <vt:lpwstr>1</vt:lpwstr>
  </property>
  <property fmtid="{D5CDD505-2E9C-101B-9397-08002B2CF9AE}" pid="16" name="MerckAIPLabel">
    <vt:lpwstr>Public</vt:lpwstr>
  </property>
  <property fmtid="{D5CDD505-2E9C-101B-9397-08002B2CF9AE}" pid="17" name="MerckAIPDataExchange">
    <vt:lpwstr>!MRKMIP@Public</vt:lpwstr>
  </property>
  <property fmtid="{D5CDD505-2E9C-101B-9397-08002B2CF9AE}" pid="18" name="_AdHocReviewCycleID">
    <vt:i4>1117467561</vt:i4>
  </property>
  <property fmtid="{D5CDD505-2E9C-101B-9397-08002B2CF9AE}" pid="19" name="_NewReviewCycle">
    <vt:lpwstr/>
  </property>
  <property fmtid="{D5CDD505-2E9C-101B-9397-08002B2CF9AE}" pid="20" name="_EmailSubject">
    <vt:lpwstr>[Confidential] RE: Privacy contracts translation service</vt:lpwstr>
  </property>
  <property fmtid="{D5CDD505-2E9C-101B-9397-08002B2CF9AE}" pid="21" name="_AuthorEmail">
    <vt:lpwstr>danny.steven.rueda@merck.com</vt:lpwstr>
  </property>
  <property fmtid="{D5CDD505-2E9C-101B-9397-08002B2CF9AE}" pid="22" name="_AuthorEmailDisplayName">
    <vt:lpwstr>Rueda, Danny</vt:lpwstr>
  </property>
  <property fmtid="{D5CDD505-2E9C-101B-9397-08002B2CF9AE}" pid="23" name="_PreviousAdHocReviewCycleID">
    <vt:i4>218031201</vt:i4>
  </property>
  <property fmtid="{D5CDD505-2E9C-101B-9397-08002B2CF9AE}" pid="24" name="_ReviewingToolsShownOnce">
    <vt:lpwstr/>
  </property>
</Properties>
</file>